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12" w:rsidRDefault="00106512" w:rsidP="00106512">
      <w:pPr>
        <w:tabs>
          <w:tab w:val="right" w:pos="1080"/>
          <w:tab w:val="left" w:pos="1260"/>
        </w:tabs>
        <w:spacing w:after="120"/>
        <w:ind w:left="1440" w:hanging="1440"/>
        <w:rPr>
          <w:rFonts w:ascii="Times New Roman" w:hAnsi="Times New Roman"/>
          <w:sz w:val="24"/>
          <w:szCs w:val="24"/>
        </w:rPr>
      </w:pPr>
      <w:r>
        <w:rPr>
          <w:b/>
          <w:noProof/>
          <w:sz w:val="28"/>
          <w:szCs w:val="28"/>
        </w:rPr>
        <w:drawing>
          <wp:anchor distT="0" distB="0" distL="114300" distR="114300" simplePos="0" relativeHeight="251659264" behindDoc="0" locked="0" layoutInCell="1" allowOverlap="1" wp14:anchorId="75F9476D" wp14:editId="77360A18">
            <wp:simplePos x="0" y="0"/>
            <wp:positionH relativeFrom="margin">
              <wp:posOffset>1196340</wp:posOffset>
            </wp:positionH>
            <wp:positionV relativeFrom="topMargin">
              <wp:posOffset>586740</wp:posOffset>
            </wp:positionV>
            <wp:extent cx="3147060" cy="480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ECC-Letterhead-Logo-Out.gif"/>
                    <pic:cNvPicPr/>
                  </pic:nvPicPr>
                  <pic:blipFill>
                    <a:blip r:embed="rId7">
                      <a:extLst>
                        <a:ext uri="{28A0092B-C50C-407E-A947-70E740481C1C}">
                          <a14:useLocalDpi xmlns:a14="http://schemas.microsoft.com/office/drawing/2010/main" val="0"/>
                        </a:ext>
                      </a:extLst>
                    </a:blip>
                    <a:stretch>
                      <a:fillRect/>
                    </a:stretch>
                  </pic:blipFill>
                  <pic:spPr>
                    <a:xfrm>
                      <a:off x="0" y="0"/>
                      <a:ext cx="3147060" cy="480060"/>
                    </a:xfrm>
                    <a:prstGeom prst="rect">
                      <a:avLst/>
                    </a:prstGeom>
                  </pic:spPr>
                </pic:pic>
              </a:graphicData>
            </a:graphic>
            <wp14:sizeRelH relativeFrom="margin">
              <wp14:pctWidth>0</wp14:pctWidth>
            </wp14:sizeRelH>
            <wp14:sizeRelV relativeFrom="margin">
              <wp14:pctHeight>0</wp14:pctHeight>
            </wp14:sizeRelV>
          </wp:anchor>
        </w:drawing>
      </w:r>
    </w:p>
    <w:p w:rsidR="00106512" w:rsidRDefault="00106512" w:rsidP="00106512">
      <w:pPr>
        <w:tabs>
          <w:tab w:val="right" w:pos="1080"/>
          <w:tab w:val="left" w:pos="1260"/>
        </w:tabs>
        <w:spacing w:after="120"/>
        <w:ind w:left="1440" w:hanging="1440"/>
        <w:rPr>
          <w:rFonts w:ascii="Times New Roman" w:hAnsi="Times New Roman"/>
          <w:sz w:val="24"/>
          <w:szCs w:val="24"/>
        </w:rPr>
      </w:pPr>
    </w:p>
    <w:p w:rsidR="00106512" w:rsidRDefault="00106512" w:rsidP="00106512">
      <w:pPr>
        <w:tabs>
          <w:tab w:val="right" w:pos="1080"/>
          <w:tab w:val="left" w:pos="1260"/>
        </w:tabs>
        <w:spacing w:after="120"/>
        <w:ind w:left="1440" w:hanging="1440"/>
        <w:rPr>
          <w:rFonts w:ascii="Times New Roman" w:hAnsi="Times New Roman"/>
          <w:sz w:val="24"/>
          <w:szCs w:val="24"/>
        </w:rPr>
      </w:pPr>
    </w:p>
    <w:p w:rsidR="00FE101B" w:rsidRDefault="00106512" w:rsidP="00106512">
      <w:pPr>
        <w:tabs>
          <w:tab w:val="right" w:pos="1080"/>
          <w:tab w:val="left" w:pos="1260"/>
        </w:tabs>
        <w:spacing w:after="120"/>
        <w:ind w:left="1440" w:hanging="1440"/>
        <w:rPr>
          <w:rFonts w:ascii="Times New Roman" w:hAnsi="Times New Roman"/>
          <w:sz w:val="24"/>
          <w:szCs w:val="24"/>
        </w:rPr>
      </w:pPr>
      <w:r>
        <w:rPr>
          <w:rFonts w:ascii="Times New Roman" w:hAnsi="Times New Roman"/>
          <w:sz w:val="24"/>
          <w:szCs w:val="24"/>
        </w:rPr>
        <w:tab/>
      </w:r>
    </w:p>
    <w:p w:rsidR="00106512" w:rsidRPr="007F78B6" w:rsidRDefault="00106512" w:rsidP="00106512">
      <w:pPr>
        <w:tabs>
          <w:tab w:val="right" w:pos="1080"/>
          <w:tab w:val="left" w:pos="1260"/>
        </w:tabs>
        <w:spacing w:after="120"/>
        <w:ind w:left="1440" w:hanging="1440"/>
        <w:rPr>
          <w:rFonts w:ascii="Times New Roman" w:hAnsi="Times New Roman"/>
          <w:b/>
          <w:sz w:val="24"/>
          <w:szCs w:val="24"/>
        </w:rPr>
      </w:pPr>
      <w:r w:rsidRPr="00DF251F">
        <w:rPr>
          <w:rFonts w:ascii="Times New Roman" w:hAnsi="Times New Roman"/>
          <w:sz w:val="24"/>
          <w:szCs w:val="24"/>
        </w:rPr>
        <w:t>TO:</w:t>
      </w:r>
      <w:r w:rsidRPr="00DF251F">
        <w:rPr>
          <w:rFonts w:ascii="Times New Roman" w:hAnsi="Times New Roman"/>
          <w:sz w:val="24"/>
          <w:szCs w:val="24"/>
        </w:rPr>
        <w:tab/>
      </w:r>
      <w:r w:rsidR="00FE101B">
        <w:rPr>
          <w:rFonts w:ascii="Times New Roman" w:hAnsi="Times New Roman"/>
          <w:sz w:val="24"/>
          <w:szCs w:val="24"/>
        </w:rPr>
        <w:t xml:space="preserve">  </w:t>
      </w:r>
      <w:r w:rsidR="00FE101B">
        <w:rPr>
          <w:rFonts w:ascii="Times New Roman" w:hAnsi="Times New Roman"/>
          <w:sz w:val="24"/>
          <w:szCs w:val="24"/>
        </w:rPr>
        <w:tab/>
        <w:t xml:space="preserve">Dr. </w:t>
      </w:r>
      <w:r w:rsidRPr="00DF251F">
        <w:rPr>
          <w:rFonts w:ascii="Times New Roman" w:hAnsi="Times New Roman"/>
          <w:sz w:val="24"/>
          <w:szCs w:val="24"/>
        </w:rPr>
        <w:t>Jon Bauer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06512" w:rsidRPr="00DF251F" w:rsidRDefault="00106512" w:rsidP="00106512">
      <w:pPr>
        <w:tabs>
          <w:tab w:val="right" w:pos="1080"/>
          <w:tab w:val="left" w:pos="1260"/>
        </w:tabs>
        <w:spacing w:after="120"/>
        <w:ind w:left="1440" w:hanging="1440"/>
        <w:rPr>
          <w:rFonts w:ascii="Times New Roman" w:hAnsi="Times New Roman"/>
          <w:sz w:val="24"/>
          <w:szCs w:val="24"/>
        </w:rPr>
      </w:pPr>
      <w:r w:rsidRPr="00DF251F">
        <w:rPr>
          <w:rFonts w:ascii="Times New Roman" w:hAnsi="Times New Roman"/>
          <w:sz w:val="24"/>
          <w:szCs w:val="24"/>
        </w:rPr>
        <w:t>DATE:</w:t>
      </w:r>
      <w:r w:rsidRPr="00DF251F">
        <w:rPr>
          <w:rFonts w:ascii="Times New Roman" w:hAnsi="Times New Roman"/>
          <w:sz w:val="24"/>
          <w:szCs w:val="24"/>
        </w:rPr>
        <w:tab/>
      </w:r>
      <w:r w:rsidR="00FE101B">
        <w:rPr>
          <w:rFonts w:ascii="Times New Roman" w:hAnsi="Times New Roman"/>
          <w:sz w:val="24"/>
          <w:szCs w:val="24"/>
        </w:rPr>
        <w:t xml:space="preserve">  </w:t>
      </w:r>
      <w:r w:rsidR="00FE101B">
        <w:rPr>
          <w:rFonts w:ascii="Times New Roman" w:hAnsi="Times New Roman"/>
          <w:sz w:val="24"/>
          <w:szCs w:val="24"/>
        </w:rPr>
        <w:tab/>
      </w:r>
      <w:r>
        <w:rPr>
          <w:rFonts w:ascii="Times New Roman" w:hAnsi="Times New Roman"/>
          <w:sz w:val="24"/>
          <w:szCs w:val="24"/>
        </w:rPr>
        <w:t>September 2</w:t>
      </w:r>
      <w:r w:rsidR="00C83452">
        <w:rPr>
          <w:rFonts w:ascii="Times New Roman" w:hAnsi="Times New Roman"/>
          <w:sz w:val="24"/>
          <w:szCs w:val="24"/>
        </w:rPr>
        <w:t>6</w:t>
      </w:r>
      <w:r>
        <w:rPr>
          <w:rFonts w:ascii="Times New Roman" w:hAnsi="Times New Roman"/>
          <w:sz w:val="24"/>
          <w:szCs w:val="24"/>
        </w:rPr>
        <w:t>, 2016</w:t>
      </w:r>
    </w:p>
    <w:p w:rsidR="00106512" w:rsidRPr="00DF251F" w:rsidRDefault="00106512" w:rsidP="00106512">
      <w:pPr>
        <w:tabs>
          <w:tab w:val="right" w:pos="1080"/>
          <w:tab w:val="left" w:pos="1260"/>
        </w:tabs>
        <w:spacing w:after="120"/>
        <w:ind w:left="1440" w:hanging="1440"/>
        <w:rPr>
          <w:rFonts w:ascii="Times New Roman" w:hAnsi="Times New Roman"/>
          <w:sz w:val="24"/>
          <w:szCs w:val="24"/>
        </w:rPr>
      </w:pPr>
      <w:r w:rsidRPr="00DF251F">
        <w:rPr>
          <w:rFonts w:ascii="Times New Roman" w:hAnsi="Times New Roman"/>
          <w:sz w:val="24"/>
          <w:szCs w:val="24"/>
        </w:rPr>
        <w:t>FROM:</w:t>
      </w:r>
      <w:r w:rsidRPr="00DF251F">
        <w:rPr>
          <w:rFonts w:ascii="Times New Roman" w:hAnsi="Times New Roman"/>
          <w:sz w:val="24"/>
          <w:szCs w:val="24"/>
        </w:rPr>
        <w:tab/>
      </w:r>
      <w:r w:rsidR="00FE101B">
        <w:rPr>
          <w:rFonts w:ascii="Times New Roman" w:hAnsi="Times New Roman"/>
          <w:sz w:val="24"/>
          <w:szCs w:val="24"/>
        </w:rPr>
        <w:t xml:space="preserve">  </w:t>
      </w:r>
      <w:r w:rsidR="00FE101B">
        <w:rPr>
          <w:rFonts w:ascii="Times New Roman" w:hAnsi="Times New Roman"/>
          <w:sz w:val="24"/>
          <w:szCs w:val="24"/>
        </w:rPr>
        <w:tab/>
      </w:r>
      <w:r>
        <w:rPr>
          <w:rFonts w:ascii="Times New Roman" w:hAnsi="Times New Roman"/>
          <w:sz w:val="24"/>
          <w:szCs w:val="24"/>
        </w:rPr>
        <w:t>Wendy Hartmann</w:t>
      </w:r>
    </w:p>
    <w:p w:rsidR="00106512" w:rsidRPr="00DF251F" w:rsidRDefault="00106512" w:rsidP="00106512">
      <w:pPr>
        <w:tabs>
          <w:tab w:val="right" w:pos="1080"/>
          <w:tab w:val="left" w:pos="1260"/>
        </w:tabs>
        <w:spacing w:after="240"/>
        <w:ind w:left="1440" w:hanging="1440"/>
        <w:rPr>
          <w:rFonts w:ascii="Times New Roman" w:hAnsi="Times New Roman"/>
          <w:sz w:val="24"/>
          <w:szCs w:val="24"/>
        </w:rPr>
      </w:pPr>
      <w:r w:rsidRPr="00DF251F">
        <w:rPr>
          <w:rFonts w:ascii="Times New Roman" w:hAnsi="Times New Roman"/>
          <w:sz w:val="24"/>
          <w:szCs w:val="24"/>
        </w:rPr>
        <w:tab/>
        <w:t>SUBJECT:</w:t>
      </w:r>
      <w:r w:rsidRPr="00DF251F">
        <w:rPr>
          <w:rFonts w:ascii="Times New Roman" w:hAnsi="Times New Roman"/>
          <w:sz w:val="24"/>
          <w:szCs w:val="24"/>
        </w:rPr>
        <w:tab/>
        <w:t>201</w:t>
      </w:r>
      <w:r>
        <w:rPr>
          <w:rFonts w:ascii="Times New Roman" w:hAnsi="Times New Roman"/>
          <w:sz w:val="24"/>
          <w:szCs w:val="24"/>
        </w:rPr>
        <w:t>7</w:t>
      </w:r>
      <w:r w:rsidRPr="00DF251F">
        <w:rPr>
          <w:rFonts w:ascii="Times New Roman" w:hAnsi="Times New Roman"/>
          <w:sz w:val="24"/>
          <w:szCs w:val="24"/>
        </w:rPr>
        <w:t xml:space="preserve"> </w:t>
      </w:r>
      <w:r>
        <w:rPr>
          <w:rFonts w:ascii="Times New Roman" w:hAnsi="Times New Roman"/>
          <w:sz w:val="24"/>
          <w:szCs w:val="24"/>
        </w:rPr>
        <w:t xml:space="preserve">Employee </w:t>
      </w:r>
      <w:r w:rsidRPr="00DF251F">
        <w:rPr>
          <w:rFonts w:ascii="Times New Roman" w:hAnsi="Times New Roman"/>
          <w:sz w:val="24"/>
          <w:szCs w:val="24"/>
        </w:rPr>
        <w:t xml:space="preserve">Insurance </w:t>
      </w:r>
      <w:r w:rsidR="00C83452">
        <w:rPr>
          <w:rFonts w:ascii="Times New Roman" w:hAnsi="Times New Roman"/>
          <w:sz w:val="24"/>
          <w:szCs w:val="24"/>
        </w:rPr>
        <w:t xml:space="preserve">Benefits </w:t>
      </w:r>
      <w:r w:rsidRPr="00DF251F">
        <w:rPr>
          <w:rFonts w:ascii="Times New Roman" w:hAnsi="Times New Roman"/>
          <w:sz w:val="24"/>
          <w:szCs w:val="24"/>
        </w:rPr>
        <w:t>Renewal</w:t>
      </w:r>
    </w:p>
    <w:p w:rsidR="00106512" w:rsidRDefault="00106512"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The Insurance and Wellness Benefits Committee</w:t>
      </w:r>
      <w:r w:rsidRPr="00B164DD">
        <w:rPr>
          <w:rFonts w:ascii="Times New Roman" w:hAnsi="Times New Roman"/>
          <w:sz w:val="24"/>
          <w:szCs w:val="24"/>
        </w:rPr>
        <w:t xml:space="preserve"> ha</w:t>
      </w:r>
      <w:r>
        <w:rPr>
          <w:rFonts w:ascii="Times New Roman" w:hAnsi="Times New Roman"/>
          <w:sz w:val="24"/>
          <w:szCs w:val="24"/>
        </w:rPr>
        <w:t>s</w:t>
      </w:r>
      <w:r w:rsidRPr="00B164DD">
        <w:rPr>
          <w:rFonts w:ascii="Times New Roman" w:hAnsi="Times New Roman"/>
          <w:sz w:val="24"/>
          <w:szCs w:val="24"/>
        </w:rPr>
        <w:t xml:space="preserve"> work</w:t>
      </w:r>
      <w:r>
        <w:rPr>
          <w:rFonts w:ascii="Times New Roman" w:hAnsi="Times New Roman"/>
          <w:sz w:val="24"/>
          <w:szCs w:val="24"/>
        </w:rPr>
        <w:t>ed</w:t>
      </w:r>
      <w:r w:rsidRPr="00B164DD">
        <w:rPr>
          <w:rFonts w:ascii="Times New Roman" w:hAnsi="Times New Roman"/>
          <w:sz w:val="24"/>
          <w:szCs w:val="24"/>
        </w:rPr>
        <w:t xml:space="preserve"> with </w:t>
      </w:r>
      <w:r>
        <w:rPr>
          <w:rFonts w:ascii="Times New Roman" w:hAnsi="Times New Roman"/>
          <w:sz w:val="24"/>
          <w:szCs w:val="24"/>
        </w:rPr>
        <w:t xml:space="preserve">J.W. Terrill </w:t>
      </w:r>
      <w:r w:rsidRPr="00B164DD">
        <w:rPr>
          <w:rFonts w:ascii="Times New Roman" w:hAnsi="Times New Roman"/>
          <w:sz w:val="24"/>
          <w:szCs w:val="24"/>
        </w:rPr>
        <w:t>for the 201</w:t>
      </w:r>
      <w:r>
        <w:rPr>
          <w:rFonts w:ascii="Times New Roman" w:hAnsi="Times New Roman"/>
          <w:sz w:val="24"/>
          <w:szCs w:val="24"/>
        </w:rPr>
        <w:t>7</w:t>
      </w:r>
      <w:r w:rsidRPr="00B164DD">
        <w:rPr>
          <w:rFonts w:ascii="Times New Roman" w:hAnsi="Times New Roman"/>
          <w:sz w:val="24"/>
          <w:szCs w:val="24"/>
        </w:rPr>
        <w:t xml:space="preserve"> </w:t>
      </w:r>
      <w:r>
        <w:rPr>
          <w:rFonts w:ascii="Times New Roman" w:hAnsi="Times New Roman"/>
          <w:sz w:val="24"/>
          <w:szCs w:val="24"/>
        </w:rPr>
        <w:t xml:space="preserve">employee </w:t>
      </w:r>
      <w:r w:rsidRPr="00B164DD">
        <w:rPr>
          <w:rFonts w:ascii="Times New Roman" w:hAnsi="Times New Roman"/>
          <w:sz w:val="24"/>
          <w:szCs w:val="24"/>
        </w:rPr>
        <w:t xml:space="preserve">insurance </w:t>
      </w:r>
      <w:r>
        <w:rPr>
          <w:rFonts w:ascii="Times New Roman" w:hAnsi="Times New Roman"/>
          <w:sz w:val="24"/>
          <w:szCs w:val="24"/>
        </w:rPr>
        <w:t xml:space="preserve">benefits </w:t>
      </w:r>
      <w:r w:rsidRPr="00B164DD">
        <w:rPr>
          <w:rFonts w:ascii="Times New Roman" w:hAnsi="Times New Roman"/>
          <w:sz w:val="24"/>
          <w:szCs w:val="24"/>
        </w:rPr>
        <w:t xml:space="preserve">renewal. </w:t>
      </w:r>
      <w:r w:rsidR="005F48A6">
        <w:rPr>
          <w:rFonts w:ascii="Times New Roman" w:hAnsi="Times New Roman"/>
          <w:sz w:val="24"/>
          <w:szCs w:val="24"/>
        </w:rPr>
        <w:t>The insurance benefits include medical, dental, vision, life/AD&amp;D and long-term disability</w:t>
      </w:r>
      <w:r w:rsidR="00FE101B">
        <w:rPr>
          <w:rFonts w:ascii="Times New Roman" w:hAnsi="Times New Roman"/>
          <w:sz w:val="24"/>
          <w:szCs w:val="24"/>
        </w:rPr>
        <w:t xml:space="preserve"> and the renewals are outlined below</w:t>
      </w:r>
      <w:r w:rsidR="005F48A6">
        <w:rPr>
          <w:rFonts w:ascii="Times New Roman" w:hAnsi="Times New Roman"/>
          <w:sz w:val="24"/>
          <w:szCs w:val="24"/>
        </w:rPr>
        <w:t xml:space="preserve">.  </w:t>
      </w:r>
    </w:p>
    <w:p w:rsidR="00106512" w:rsidRDefault="00106512" w:rsidP="00106512">
      <w:pPr>
        <w:pStyle w:val="BodyText"/>
        <w:spacing w:after="0" w:line="240" w:lineRule="auto"/>
        <w:ind w:firstLine="0"/>
        <w:rPr>
          <w:rFonts w:ascii="Times New Roman" w:hAnsi="Times New Roman"/>
          <w:sz w:val="24"/>
          <w:szCs w:val="24"/>
        </w:rPr>
      </w:pPr>
    </w:p>
    <w:p w:rsidR="00106512" w:rsidRPr="005F48A6" w:rsidRDefault="00106512" w:rsidP="00106512">
      <w:pPr>
        <w:pStyle w:val="BodyText"/>
        <w:spacing w:after="0" w:line="240" w:lineRule="auto"/>
        <w:ind w:firstLine="0"/>
        <w:rPr>
          <w:rFonts w:ascii="Times New Roman" w:hAnsi="Times New Roman"/>
          <w:b/>
          <w:caps/>
          <w:sz w:val="24"/>
          <w:szCs w:val="24"/>
        </w:rPr>
      </w:pPr>
      <w:r w:rsidRPr="005F48A6">
        <w:rPr>
          <w:rFonts w:ascii="Times New Roman" w:hAnsi="Times New Roman"/>
          <w:b/>
          <w:caps/>
          <w:sz w:val="24"/>
          <w:szCs w:val="24"/>
        </w:rPr>
        <w:t>Medical</w:t>
      </w:r>
    </w:p>
    <w:p w:rsidR="00106512" w:rsidRDefault="00106512"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The College has had </w:t>
      </w:r>
      <w:r w:rsidR="00EA1786" w:rsidRPr="00C83452">
        <w:rPr>
          <w:rFonts w:ascii="Times New Roman" w:hAnsi="Times New Roman"/>
          <w:sz w:val="24"/>
          <w:szCs w:val="24"/>
        </w:rPr>
        <w:t>m</w:t>
      </w:r>
      <w:r>
        <w:rPr>
          <w:rFonts w:ascii="Times New Roman" w:hAnsi="Times New Roman"/>
          <w:sz w:val="24"/>
          <w:szCs w:val="24"/>
        </w:rPr>
        <w:t xml:space="preserve">edical coverage through Anthem </w:t>
      </w:r>
      <w:r w:rsidR="00B40EE5">
        <w:rPr>
          <w:rFonts w:ascii="Times New Roman" w:hAnsi="Times New Roman"/>
          <w:sz w:val="24"/>
          <w:szCs w:val="24"/>
        </w:rPr>
        <w:t xml:space="preserve">Blue Cross Blue Shield </w:t>
      </w:r>
      <w:r>
        <w:rPr>
          <w:rFonts w:ascii="Times New Roman" w:hAnsi="Times New Roman"/>
          <w:sz w:val="24"/>
          <w:szCs w:val="24"/>
        </w:rPr>
        <w:t xml:space="preserve">since </w:t>
      </w:r>
      <w:r w:rsidR="00005C82" w:rsidRPr="00B40EE5">
        <w:rPr>
          <w:rFonts w:ascii="Times New Roman" w:hAnsi="Times New Roman"/>
          <w:sz w:val="24"/>
          <w:szCs w:val="24"/>
        </w:rPr>
        <w:t>January 1, 201</w:t>
      </w:r>
      <w:r w:rsidR="00B40EE5" w:rsidRPr="00B40EE5">
        <w:rPr>
          <w:rFonts w:ascii="Times New Roman" w:hAnsi="Times New Roman"/>
          <w:sz w:val="24"/>
          <w:szCs w:val="24"/>
        </w:rPr>
        <w:t>4</w:t>
      </w:r>
      <w:r w:rsidRPr="00B40EE5">
        <w:rPr>
          <w:rFonts w:ascii="Times New Roman" w:hAnsi="Times New Roman"/>
          <w:sz w:val="24"/>
          <w:szCs w:val="24"/>
        </w:rPr>
        <w:t>.</w:t>
      </w:r>
      <w:r>
        <w:rPr>
          <w:rFonts w:ascii="Times New Roman" w:hAnsi="Times New Roman"/>
          <w:sz w:val="24"/>
          <w:szCs w:val="24"/>
        </w:rPr>
        <w:t xml:space="preserve"> Anthem’s original renewal included a proposed 6.61% increase.  J.W. Terrill has negotiated a 3% increase to our Anthem medical insurance premium for 2017 which is lower than the budgeted 5% premium cost increase.</w:t>
      </w:r>
      <w:r w:rsidR="00B01BDC">
        <w:rPr>
          <w:rFonts w:ascii="Times New Roman" w:hAnsi="Times New Roman"/>
          <w:sz w:val="24"/>
          <w:szCs w:val="24"/>
        </w:rPr>
        <w:t xml:space="preserve"> The renewal was based on 205 employees.  </w:t>
      </w:r>
    </w:p>
    <w:p w:rsidR="00106512" w:rsidRDefault="00106512" w:rsidP="00106512">
      <w:pPr>
        <w:pStyle w:val="BodyText"/>
        <w:spacing w:after="0" w:line="240" w:lineRule="auto"/>
        <w:ind w:firstLine="0"/>
        <w:rPr>
          <w:rFonts w:ascii="Times New Roman" w:hAnsi="Times New Roman"/>
          <w:sz w:val="24"/>
          <w:szCs w:val="24"/>
        </w:rPr>
      </w:pPr>
    </w:p>
    <w:p w:rsidR="00641ACE" w:rsidRDefault="00106512"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Employees will continue to have </w:t>
      </w:r>
      <w:r w:rsidR="00EA1786" w:rsidRPr="00C83452">
        <w:rPr>
          <w:rFonts w:ascii="Times New Roman" w:hAnsi="Times New Roman"/>
          <w:sz w:val="24"/>
          <w:szCs w:val="24"/>
        </w:rPr>
        <w:t>a</w:t>
      </w:r>
      <w:r w:rsidR="00EA1786">
        <w:rPr>
          <w:rFonts w:ascii="Times New Roman" w:hAnsi="Times New Roman"/>
          <w:color w:val="FF0000"/>
          <w:sz w:val="24"/>
          <w:szCs w:val="24"/>
        </w:rPr>
        <w:t xml:space="preserve"> </w:t>
      </w:r>
      <w:r>
        <w:rPr>
          <w:rFonts w:ascii="Times New Roman" w:hAnsi="Times New Roman"/>
          <w:sz w:val="24"/>
          <w:szCs w:val="24"/>
        </w:rPr>
        <w:t xml:space="preserve">choice </w:t>
      </w:r>
      <w:r w:rsidR="00641ACE">
        <w:rPr>
          <w:rFonts w:ascii="Times New Roman" w:hAnsi="Times New Roman"/>
          <w:sz w:val="24"/>
          <w:szCs w:val="24"/>
        </w:rPr>
        <w:t>of plan options:</w:t>
      </w:r>
    </w:p>
    <w:p w:rsidR="00487A73" w:rsidRPr="00D27D7A" w:rsidRDefault="00EA1786" w:rsidP="00FE101B">
      <w:pPr>
        <w:pStyle w:val="BodyText"/>
        <w:numPr>
          <w:ilvl w:val="0"/>
          <w:numId w:val="3"/>
        </w:numPr>
        <w:spacing w:after="0" w:line="240" w:lineRule="auto"/>
        <w:ind w:left="360"/>
        <w:rPr>
          <w:rFonts w:ascii="Times New Roman" w:hAnsi="Times New Roman"/>
          <w:color w:val="000000"/>
          <w:kern w:val="24"/>
          <w:sz w:val="24"/>
          <w:szCs w:val="24"/>
        </w:rPr>
      </w:pPr>
      <w:r w:rsidRPr="00C83452">
        <w:rPr>
          <w:rFonts w:ascii="Times New Roman" w:hAnsi="Times New Roman"/>
          <w:sz w:val="24"/>
          <w:szCs w:val="24"/>
        </w:rPr>
        <w:t>The</w:t>
      </w:r>
      <w:r>
        <w:rPr>
          <w:rFonts w:ascii="Times New Roman" w:hAnsi="Times New Roman"/>
          <w:color w:val="FF0000"/>
          <w:sz w:val="24"/>
          <w:szCs w:val="24"/>
        </w:rPr>
        <w:t xml:space="preserve"> </w:t>
      </w:r>
      <w:r w:rsidR="008A299E">
        <w:rPr>
          <w:rFonts w:ascii="Times New Roman" w:hAnsi="Times New Roman"/>
          <w:sz w:val="24"/>
          <w:szCs w:val="24"/>
        </w:rPr>
        <w:t xml:space="preserve">Base </w:t>
      </w:r>
      <w:r>
        <w:rPr>
          <w:rFonts w:ascii="Times New Roman" w:hAnsi="Times New Roman"/>
          <w:sz w:val="24"/>
          <w:szCs w:val="24"/>
        </w:rPr>
        <w:t>Plan has</w:t>
      </w:r>
      <w:r w:rsidR="00487A73">
        <w:rPr>
          <w:rFonts w:ascii="Times New Roman" w:hAnsi="Times New Roman"/>
          <w:sz w:val="24"/>
          <w:szCs w:val="24"/>
        </w:rPr>
        <w:t xml:space="preserve"> a lower deductible and </w:t>
      </w:r>
      <w:r w:rsidR="00B01BDC">
        <w:rPr>
          <w:rFonts w:ascii="Times New Roman" w:hAnsi="Times New Roman"/>
          <w:sz w:val="24"/>
          <w:szCs w:val="24"/>
        </w:rPr>
        <w:t xml:space="preserve">includes </w:t>
      </w:r>
      <w:r w:rsidR="00487A73">
        <w:rPr>
          <w:rFonts w:ascii="Times New Roman" w:hAnsi="Times New Roman"/>
          <w:sz w:val="24"/>
          <w:szCs w:val="24"/>
        </w:rPr>
        <w:t xml:space="preserve">copays while the </w:t>
      </w:r>
      <w:r w:rsidR="008A299E">
        <w:rPr>
          <w:rFonts w:ascii="Times New Roman" w:hAnsi="Times New Roman"/>
          <w:sz w:val="24"/>
          <w:szCs w:val="24"/>
        </w:rPr>
        <w:t>High Deductible Plan</w:t>
      </w:r>
      <w:r w:rsidR="00641ACE">
        <w:rPr>
          <w:rFonts w:ascii="Times New Roman" w:hAnsi="Times New Roman"/>
          <w:sz w:val="24"/>
          <w:szCs w:val="24"/>
        </w:rPr>
        <w:t xml:space="preserve"> (HDP)</w:t>
      </w:r>
      <w:r w:rsidR="00487A73">
        <w:rPr>
          <w:rFonts w:ascii="Times New Roman" w:hAnsi="Times New Roman"/>
          <w:sz w:val="24"/>
          <w:szCs w:val="24"/>
        </w:rPr>
        <w:t xml:space="preserve"> has a higher deductible </w:t>
      </w:r>
      <w:r w:rsidR="00487A73" w:rsidRPr="00C83452">
        <w:rPr>
          <w:rFonts w:ascii="Times New Roman" w:hAnsi="Times New Roman"/>
          <w:sz w:val="24"/>
          <w:szCs w:val="24"/>
        </w:rPr>
        <w:t xml:space="preserve">but </w:t>
      </w:r>
      <w:r w:rsidR="00D27D7A">
        <w:rPr>
          <w:rFonts w:ascii="Times New Roman" w:hAnsi="Times New Roman"/>
          <w:sz w:val="24"/>
          <w:szCs w:val="24"/>
        </w:rPr>
        <w:t>has</w:t>
      </w:r>
      <w:r w:rsidRPr="00C83452">
        <w:rPr>
          <w:rFonts w:ascii="Times New Roman" w:hAnsi="Times New Roman"/>
          <w:sz w:val="24"/>
          <w:szCs w:val="24"/>
        </w:rPr>
        <w:t xml:space="preserve"> </w:t>
      </w:r>
      <w:r w:rsidR="00487A73">
        <w:rPr>
          <w:rFonts w:ascii="Times New Roman" w:hAnsi="Times New Roman"/>
          <w:sz w:val="24"/>
          <w:szCs w:val="24"/>
        </w:rPr>
        <w:t>the Health Savings Account (H.S.A.) option which allows employees to save for medical expenses for self and/or family</w:t>
      </w:r>
      <w:r w:rsidR="00D27D7A" w:rsidRPr="00D27D7A">
        <w:rPr>
          <w:rFonts w:ascii="Times New Roman" w:hAnsi="Times New Roman"/>
          <w:sz w:val="24"/>
          <w:szCs w:val="24"/>
        </w:rPr>
        <w:t xml:space="preserve"> </w:t>
      </w:r>
      <w:r w:rsidR="00D27D7A">
        <w:rPr>
          <w:rFonts w:ascii="Times New Roman" w:hAnsi="Times New Roman"/>
          <w:sz w:val="24"/>
          <w:szCs w:val="24"/>
        </w:rPr>
        <w:t>on a pre-tax basis</w:t>
      </w:r>
      <w:r w:rsidR="00487A73" w:rsidRPr="00C83452">
        <w:rPr>
          <w:rFonts w:ascii="Times New Roman" w:hAnsi="Times New Roman"/>
          <w:sz w:val="24"/>
          <w:szCs w:val="24"/>
        </w:rPr>
        <w:t xml:space="preserve">.  </w:t>
      </w:r>
      <w:r w:rsidRPr="00C83452">
        <w:rPr>
          <w:rFonts w:ascii="Times New Roman" w:hAnsi="Times New Roman"/>
          <w:sz w:val="24"/>
          <w:szCs w:val="24"/>
        </w:rPr>
        <w:t xml:space="preserve">The </w:t>
      </w:r>
      <w:r w:rsidR="00487A73" w:rsidRPr="00C83452">
        <w:rPr>
          <w:rFonts w:ascii="Times New Roman" w:hAnsi="Times New Roman"/>
          <w:sz w:val="24"/>
          <w:szCs w:val="24"/>
        </w:rPr>
        <w:t xml:space="preserve">College </w:t>
      </w:r>
      <w:r w:rsidR="00487A73">
        <w:rPr>
          <w:rFonts w:ascii="Times New Roman" w:hAnsi="Times New Roman"/>
          <w:sz w:val="24"/>
          <w:szCs w:val="24"/>
        </w:rPr>
        <w:t>offers a financial incentive for employees choosing the HDP due to savings in the premium</w:t>
      </w:r>
      <w:r w:rsidR="00494BA3">
        <w:rPr>
          <w:rFonts w:ascii="Times New Roman" w:hAnsi="Times New Roman"/>
          <w:sz w:val="24"/>
          <w:szCs w:val="24"/>
        </w:rPr>
        <w:t xml:space="preserve"> which can be contributed to a health savings account or </w:t>
      </w:r>
      <w:r w:rsidR="00B01BDC">
        <w:rPr>
          <w:rFonts w:ascii="Times New Roman" w:hAnsi="Times New Roman"/>
          <w:sz w:val="24"/>
          <w:szCs w:val="24"/>
        </w:rPr>
        <w:t xml:space="preserve">applied </w:t>
      </w:r>
      <w:r w:rsidR="00494BA3">
        <w:rPr>
          <w:rFonts w:ascii="Times New Roman" w:hAnsi="Times New Roman"/>
          <w:sz w:val="24"/>
          <w:szCs w:val="24"/>
        </w:rPr>
        <w:t>to the dependent premiums</w:t>
      </w:r>
      <w:r w:rsidR="00487A73">
        <w:rPr>
          <w:rFonts w:ascii="Times New Roman" w:hAnsi="Times New Roman"/>
          <w:sz w:val="24"/>
          <w:szCs w:val="24"/>
        </w:rPr>
        <w:t>.</w:t>
      </w:r>
    </w:p>
    <w:p w:rsidR="00487A73" w:rsidRDefault="00EA1786" w:rsidP="00FE101B">
      <w:pPr>
        <w:pStyle w:val="BodyText"/>
        <w:numPr>
          <w:ilvl w:val="0"/>
          <w:numId w:val="3"/>
        </w:numPr>
        <w:spacing w:after="0" w:line="240" w:lineRule="auto"/>
        <w:ind w:left="360"/>
        <w:rPr>
          <w:rFonts w:ascii="Times New Roman" w:hAnsi="Times New Roman"/>
          <w:sz w:val="24"/>
          <w:szCs w:val="24"/>
        </w:rPr>
      </w:pPr>
      <w:r w:rsidRPr="00C83452">
        <w:rPr>
          <w:rFonts w:ascii="Times New Roman" w:hAnsi="Times New Roman"/>
          <w:sz w:val="24"/>
          <w:szCs w:val="24"/>
        </w:rPr>
        <w:t xml:space="preserve">The employee has the flexibility of selecting from two different provider networks - </w:t>
      </w:r>
      <w:r w:rsidR="00487A73">
        <w:rPr>
          <w:rFonts w:ascii="Times New Roman" w:hAnsi="Times New Roman"/>
          <w:sz w:val="24"/>
          <w:szCs w:val="24"/>
        </w:rPr>
        <w:t>BJC and non-BJC. BJC includes Barnes Jewish Christian providers and</w:t>
      </w:r>
      <w:r w:rsidR="00487A73" w:rsidRPr="000B1AF8">
        <w:rPr>
          <w:rFonts w:ascii="Times New Roman" w:hAnsi="Times New Roman"/>
          <w:color w:val="FF0000"/>
          <w:sz w:val="24"/>
          <w:szCs w:val="24"/>
        </w:rPr>
        <w:t xml:space="preserve"> </w:t>
      </w:r>
      <w:r w:rsidR="00487A73">
        <w:rPr>
          <w:rFonts w:ascii="Times New Roman" w:hAnsi="Times New Roman"/>
          <w:sz w:val="24"/>
          <w:szCs w:val="24"/>
        </w:rPr>
        <w:t xml:space="preserve">Mercy providers.  </w:t>
      </w:r>
      <w:r w:rsidRPr="00C83452">
        <w:rPr>
          <w:rFonts w:ascii="Times New Roman" w:hAnsi="Times New Roman"/>
          <w:sz w:val="24"/>
          <w:szCs w:val="24"/>
        </w:rPr>
        <w:t>The</w:t>
      </w:r>
      <w:r>
        <w:rPr>
          <w:rFonts w:ascii="Times New Roman" w:hAnsi="Times New Roman"/>
          <w:color w:val="FF0000"/>
          <w:sz w:val="24"/>
          <w:szCs w:val="24"/>
        </w:rPr>
        <w:t xml:space="preserve"> </w:t>
      </w:r>
      <w:r w:rsidR="00487A73">
        <w:rPr>
          <w:rFonts w:ascii="Times New Roman" w:hAnsi="Times New Roman"/>
          <w:sz w:val="24"/>
          <w:szCs w:val="24"/>
        </w:rPr>
        <w:t xml:space="preserve">College offers a financial incentive for employees choosing the non-BJC network (includes Mercy providers) due to savings in the premium. The contribution is either to the employees FSA, H.S.A. or dependent coverage </w:t>
      </w:r>
      <w:r w:rsidR="00B01BDC">
        <w:rPr>
          <w:rFonts w:ascii="Times New Roman" w:hAnsi="Times New Roman"/>
          <w:sz w:val="24"/>
          <w:szCs w:val="24"/>
        </w:rPr>
        <w:t>premium</w:t>
      </w:r>
      <w:r w:rsidR="00487A73">
        <w:rPr>
          <w:rFonts w:ascii="Times New Roman" w:hAnsi="Times New Roman"/>
          <w:sz w:val="24"/>
          <w:szCs w:val="24"/>
        </w:rPr>
        <w:t>.</w:t>
      </w:r>
    </w:p>
    <w:p w:rsidR="00490B16" w:rsidRDefault="00487A73" w:rsidP="00FE101B">
      <w:pPr>
        <w:pStyle w:val="BodyText"/>
        <w:numPr>
          <w:ilvl w:val="0"/>
          <w:numId w:val="3"/>
        </w:numPr>
        <w:spacing w:after="0" w:line="240" w:lineRule="auto"/>
        <w:ind w:left="360"/>
        <w:rPr>
          <w:rFonts w:ascii="Times New Roman" w:hAnsi="Times New Roman"/>
          <w:sz w:val="24"/>
          <w:szCs w:val="24"/>
        </w:rPr>
      </w:pPr>
      <w:r>
        <w:rPr>
          <w:rFonts w:ascii="Times New Roman" w:hAnsi="Times New Roman"/>
          <w:sz w:val="24"/>
          <w:szCs w:val="24"/>
        </w:rPr>
        <w:t>O</w:t>
      </w:r>
      <w:r w:rsidR="00106512">
        <w:rPr>
          <w:rFonts w:ascii="Times New Roman" w:hAnsi="Times New Roman"/>
          <w:sz w:val="24"/>
          <w:szCs w:val="24"/>
        </w:rPr>
        <w:t xml:space="preserve">ption to purchase dependent coverage.  </w:t>
      </w:r>
    </w:p>
    <w:p w:rsidR="00106512" w:rsidRDefault="00FE101B" w:rsidP="00FE101B">
      <w:pPr>
        <w:pStyle w:val="BodyText"/>
        <w:numPr>
          <w:ilvl w:val="0"/>
          <w:numId w:val="3"/>
        </w:numPr>
        <w:spacing w:after="0" w:line="240" w:lineRule="auto"/>
        <w:ind w:left="360"/>
        <w:rPr>
          <w:rFonts w:ascii="Times New Roman" w:hAnsi="Times New Roman"/>
          <w:color w:val="000000"/>
          <w:kern w:val="24"/>
          <w:sz w:val="24"/>
          <w:szCs w:val="24"/>
        </w:rPr>
      </w:pPr>
      <w:r>
        <w:rPr>
          <w:rFonts w:ascii="Times New Roman" w:hAnsi="Times New Roman"/>
          <w:color w:val="000000"/>
          <w:kern w:val="24"/>
          <w:sz w:val="24"/>
          <w:szCs w:val="24"/>
        </w:rPr>
        <w:t>T</w:t>
      </w:r>
      <w:r w:rsidR="00106512" w:rsidRPr="00757A24">
        <w:rPr>
          <w:rFonts w:ascii="Times New Roman" w:hAnsi="Times New Roman"/>
          <w:color w:val="000000"/>
          <w:kern w:val="24"/>
          <w:sz w:val="24"/>
          <w:szCs w:val="24"/>
        </w:rPr>
        <w:t xml:space="preserve">he College </w:t>
      </w:r>
      <w:r w:rsidR="00106512">
        <w:rPr>
          <w:rFonts w:ascii="Times New Roman" w:hAnsi="Times New Roman"/>
          <w:color w:val="000000"/>
          <w:kern w:val="24"/>
          <w:sz w:val="24"/>
          <w:szCs w:val="24"/>
        </w:rPr>
        <w:t xml:space="preserve">will </w:t>
      </w:r>
      <w:r w:rsidR="00106512" w:rsidRPr="00C83452">
        <w:rPr>
          <w:rFonts w:ascii="Times New Roman" w:hAnsi="Times New Roman"/>
          <w:kern w:val="24"/>
          <w:sz w:val="24"/>
          <w:szCs w:val="24"/>
        </w:rPr>
        <w:t xml:space="preserve">continue </w:t>
      </w:r>
      <w:r w:rsidR="00EA1786" w:rsidRPr="00C83452">
        <w:rPr>
          <w:rFonts w:ascii="Times New Roman" w:hAnsi="Times New Roman"/>
          <w:kern w:val="24"/>
          <w:sz w:val="24"/>
          <w:szCs w:val="24"/>
        </w:rPr>
        <w:t xml:space="preserve">to purchase </w:t>
      </w:r>
      <w:r w:rsidR="00106512" w:rsidRPr="00C83452">
        <w:rPr>
          <w:rFonts w:ascii="Times New Roman" w:hAnsi="Times New Roman"/>
          <w:kern w:val="24"/>
          <w:sz w:val="24"/>
          <w:szCs w:val="24"/>
        </w:rPr>
        <w:t xml:space="preserve">a Health </w:t>
      </w:r>
      <w:r w:rsidR="00106512" w:rsidRPr="00757A24">
        <w:rPr>
          <w:rFonts w:ascii="Times New Roman" w:hAnsi="Times New Roman"/>
          <w:color w:val="000000"/>
          <w:kern w:val="24"/>
          <w:sz w:val="24"/>
          <w:szCs w:val="24"/>
        </w:rPr>
        <w:t>Reimbursement Acc</w:t>
      </w:r>
      <w:r w:rsidR="00494BA3">
        <w:rPr>
          <w:rFonts w:ascii="Times New Roman" w:hAnsi="Times New Roman"/>
          <w:color w:val="000000"/>
          <w:kern w:val="24"/>
          <w:sz w:val="24"/>
          <w:szCs w:val="24"/>
        </w:rPr>
        <w:t>ount (HRA) as part of the plans which reduces the overall premium costs and reduces the deductible for the employees.</w:t>
      </w:r>
    </w:p>
    <w:p w:rsidR="00106512" w:rsidRDefault="00106512" w:rsidP="00106512">
      <w:pPr>
        <w:pStyle w:val="BodyText"/>
        <w:spacing w:after="0" w:line="240" w:lineRule="auto"/>
        <w:ind w:firstLine="0"/>
        <w:rPr>
          <w:rFonts w:ascii="Times New Roman" w:hAnsi="Times New Roman"/>
          <w:sz w:val="24"/>
          <w:szCs w:val="24"/>
        </w:rPr>
      </w:pPr>
    </w:p>
    <w:p w:rsidR="00641ACE" w:rsidRPr="00641ACE" w:rsidRDefault="00641ACE" w:rsidP="00641ACE">
      <w:pPr>
        <w:pStyle w:val="BodyText"/>
        <w:spacing w:after="0" w:line="240" w:lineRule="auto"/>
        <w:ind w:firstLine="0"/>
        <w:rPr>
          <w:rFonts w:ascii="Times New Roman" w:hAnsi="Times New Roman"/>
          <w:sz w:val="24"/>
          <w:szCs w:val="24"/>
          <w:u w:val="single"/>
        </w:rPr>
      </w:pPr>
      <w:r w:rsidRPr="00641ACE">
        <w:rPr>
          <w:rFonts w:ascii="Times New Roman" w:hAnsi="Times New Roman"/>
          <w:sz w:val="24"/>
          <w:szCs w:val="24"/>
          <w:u w:val="single"/>
        </w:rPr>
        <w:t xml:space="preserve">2017 Estimated </w:t>
      </w:r>
      <w:r>
        <w:rPr>
          <w:rFonts w:ascii="Times New Roman" w:hAnsi="Times New Roman"/>
          <w:sz w:val="24"/>
          <w:szCs w:val="24"/>
          <w:u w:val="single"/>
        </w:rPr>
        <w:t>Medical</w:t>
      </w:r>
      <w:r w:rsidRPr="00641ACE">
        <w:rPr>
          <w:rFonts w:ascii="Times New Roman" w:hAnsi="Times New Roman"/>
          <w:sz w:val="24"/>
          <w:szCs w:val="24"/>
          <w:u w:val="single"/>
        </w:rPr>
        <w:t xml:space="preserve"> Insurance Cost</w:t>
      </w:r>
    </w:p>
    <w:p w:rsidR="00641ACE" w:rsidRDefault="00641ACE" w:rsidP="00641ACE">
      <w:pPr>
        <w:pStyle w:val="BodyText"/>
        <w:spacing w:after="0" w:line="240" w:lineRule="auto"/>
        <w:ind w:firstLine="0"/>
        <w:rPr>
          <w:rFonts w:ascii="Times New Roman" w:hAnsi="Times New Roman"/>
          <w:sz w:val="24"/>
          <w:szCs w:val="24"/>
        </w:rPr>
      </w:pPr>
      <w:r>
        <w:rPr>
          <w:rFonts w:ascii="Times New Roman" w:hAnsi="Times New Roman"/>
          <w:sz w:val="24"/>
          <w:szCs w:val="24"/>
        </w:rPr>
        <w:t>$          633.87</w:t>
      </w:r>
      <w:r>
        <w:rPr>
          <w:rFonts w:ascii="Times New Roman" w:hAnsi="Times New Roman"/>
          <w:sz w:val="24"/>
          <w:szCs w:val="24"/>
        </w:rPr>
        <w:tab/>
        <w:t>Monthly - Employee only (includes ACA fees, FSA, H.S.A. and HRA)</w:t>
      </w:r>
    </w:p>
    <w:p w:rsidR="00641ACE" w:rsidRDefault="00641ACE" w:rsidP="00641ACE">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  </w:t>
      </w:r>
      <w:r w:rsidR="00AC6643">
        <w:rPr>
          <w:rFonts w:ascii="Times New Roman" w:hAnsi="Times New Roman"/>
          <w:sz w:val="24"/>
          <w:szCs w:val="24"/>
        </w:rPr>
        <w:t xml:space="preserve">     </w:t>
      </w:r>
      <w:r>
        <w:rPr>
          <w:rFonts w:ascii="Times New Roman" w:hAnsi="Times New Roman"/>
          <w:sz w:val="24"/>
          <w:szCs w:val="24"/>
        </w:rPr>
        <w:t xml:space="preserve"> </w:t>
      </w:r>
      <w:r w:rsidR="00AC6643">
        <w:rPr>
          <w:rFonts w:ascii="Times New Roman" w:hAnsi="Times New Roman"/>
          <w:sz w:val="24"/>
          <w:szCs w:val="24"/>
        </w:rPr>
        <w:t>1</w:t>
      </w:r>
      <w:r>
        <w:rPr>
          <w:rFonts w:ascii="Times New Roman" w:hAnsi="Times New Roman"/>
          <w:sz w:val="24"/>
          <w:szCs w:val="24"/>
        </w:rPr>
        <w:t>29,94</w:t>
      </w:r>
      <w:r w:rsidR="00AC6643">
        <w:rPr>
          <w:rFonts w:ascii="Times New Roman" w:hAnsi="Times New Roman"/>
          <w:sz w:val="24"/>
          <w:szCs w:val="24"/>
        </w:rPr>
        <w:t>2</w:t>
      </w:r>
      <w:r>
        <w:rPr>
          <w:rFonts w:ascii="Times New Roman" w:hAnsi="Times New Roman"/>
          <w:sz w:val="24"/>
          <w:szCs w:val="24"/>
        </w:rPr>
        <w:tab/>
        <w:t xml:space="preserve">Monthly - 205 employees </w:t>
      </w:r>
    </w:p>
    <w:p w:rsidR="00641ACE" w:rsidRDefault="00641ACE" w:rsidP="00641ACE">
      <w:pPr>
        <w:pStyle w:val="BodyText"/>
        <w:spacing w:after="0" w:line="240" w:lineRule="auto"/>
        <w:ind w:firstLine="0"/>
        <w:rPr>
          <w:rFonts w:ascii="Times New Roman" w:hAnsi="Times New Roman"/>
          <w:sz w:val="24"/>
          <w:szCs w:val="24"/>
        </w:rPr>
      </w:pPr>
      <w:r>
        <w:rPr>
          <w:rFonts w:ascii="Times New Roman" w:hAnsi="Times New Roman"/>
          <w:sz w:val="24"/>
          <w:szCs w:val="24"/>
        </w:rPr>
        <w:t>$</w:t>
      </w:r>
      <w:r w:rsidR="00AC6643">
        <w:rPr>
          <w:rFonts w:ascii="Times New Roman" w:hAnsi="Times New Roman"/>
          <w:sz w:val="24"/>
          <w:szCs w:val="24"/>
        </w:rPr>
        <w:t xml:space="preserve">     </w:t>
      </w:r>
      <w:bookmarkStart w:id="0" w:name="_GoBack"/>
      <w:bookmarkEnd w:id="0"/>
      <w:r>
        <w:rPr>
          <w:rFonts w:ascii="Times New Roman" w:hAnsi="Times New Roman"/>
          <w:sz w:val="24"/>
          <w:szCs w:val="24"/>
        </w:rPr>
        <w:t>1,559,3</w:t>
      </w:r>
      <w:r w:rsidR="00AC6643">
        <w:rPr>
          <w:rFonts w:ascii="Times New Roman" w:hAnsi="Times New Roman"/>
          <w:sz w:val="24"/>
          <w:szCs w:val="24"/>
        </w:rPr>
        <w:t>02</w:t>
      </w:r>
      <w:r>
        <w:rPr>
          <w:rFonts w:ascii="Times New Roman" w:hAnsi="Times New Roman"/>
          <w:sz w:val="24"/>
          <w:szCs w:val="24"/>
        </w:rPr>
        <w:tab/>
        <w:t xml:space="preserve">Annual Cost based on 205 employees </w:t>
      </w:r>
    </w:p>
    <w:p w:rsidR="00106512" w:rsidRDefault="00106512" w:rsidP="00106512">
      <w:pPr>
        <w:pStyle w:val="BodyText"/>
        <w:spacing w:after="0" w:line="240" w:lineRule="auto"/>
        <w:ind w:firstLine="0"/>
        <w:rPr>
          <w:rFonts w:ascii="Times New Roman" w:hAnsi="Times New Roman"/>
          <w:sz w:val="24"/>
          <w:szCs w:val="24"/>
        </w:rPr>
      </w:pPr>
    </w:p>
    <w:p w:rsidR="00641ACE" w:rsidRDefault="007D6E91"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The chart provides a breakdown of the overall costs associated with the medical insurance which includes the premium, HRA fee, HRA deductible, FSA, H.S.A. and dependent coverage contributions.</w:t>
      </w:r>
    </w:p>
    <w:p w:rsidR="00FE101B" w:rsidRDefault="00FE101B" w:rsidP="00106512">
      <w:pPr>
        <w:pStyle w:val="BodyText"/>
        <w:spacing w:after="0" w:line="240" w:lineRule="auto"/>
        <w:ind w:firstLine="0"/>
        <w:rPr>
          <w:rFonts w:ascii="Times New Roman" w:hAnsi="Times New Roman"/>
          <w:sz w:val="24"/>
          <w:szCs w:val="24"/>
        </w:rPr>
      </w:pPr>
    </w:p>
    <w:tbl>
      <w:tblPr>
        <w:tblW w:w="9080" w:type="dxa"/>
        <w:tblLook w:val="04A0" w:firstRow="1" w:lastRow="0" w:firstColumn="1" w:lastColumn="0" w:noHBand="0" w:noVBand="1"/>
      </w:tblPr>
      <w:tblGrid>
        <w:gridCol w:w="837"/>
        <w:gridCol w:w="1120"/>
        <w:gridCol w:w="1100"/>
        <w:gridCol w:w="1200"/>
        <w:gridCol w:w="1280"/>
        <w:gridCol w:w="1227"/>
        <w:gridCol w:w="1240"/>
        <w:gridCol w:w="1160"/>
      </w:tblGrid>
      <w:tr w:rsidR="005F48A6" w:rsidRPr="005F48A6" w:rsidTr="005F48A6">
        <w:trPr>
          <w:trHeight w:val="936"/>
        </w:trPr>
        <w:tc>
          <w:tcPr>
            <w:tcW w:w="820" w:type="dxa"/>
            <w:tcBorders>
              <w:top w:val="single" w:sz="8" w:space="0" w:color="auto"/>
              <w:left w:val="single" w:sz="8" w:space="0" w:color="auto"/>
              <w:bottom w:val="single" w:sz="8" w:space="0" w:color="auto"/>
              <w:right w:val="single" w:sz="8" w:space="0" w:color="auto"/>
            </w:tcBorders>
            <w:shd w:val="clear" w:color="000000" w:fill="0070C0"/>
            <w:vAlign w:val="bottom"/>
            <w:hideMark/>
          </w:tcPr>
          <w:p w:rsidR="005F48A6" w:rsidRPr="005F48A6" w:rsidRDefault="005F48A6" w:rsidP="005F48A6">
            <w:pPr>
              <w:jc w:val="right"/>
              <w:rPr>
                <w:rFonts w:ascii="Arial" w:hAnsi="Arial" w:cs="Arial"/>
                <w:b/>
                <w:bCs/>
                <w:color w:val="FFFFFF"/>
                <w:sz w:val="18"/>
                <w:szCs w:val="18"/>
              </w:rPr>
            </w:pPr>
            <w:r w:rsidRPr="005F48A6">
              <w:rPr>
                <w:rFonts w:ascii="Arial" w:hAnsi="Arial" w:cs="Arial"/>
                <w:b/>
                <w:bCs/>
                <w:color w:val="FFFFFF"/>
                <w:sz w:val="18"/>
                <w:szCs w:val="18"/>
              </w:rPr>
              <w:t> </w:t>
            </w:r>
          </w:p>
        </w:tc>
        <w:tc>
          <w:tcPr>
            <w:tcW w:w="112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Premium Rates</w:t>
            </w:r>
          </w:p>
        </w:tc>
        <w:tc>
          <w:tcPr>
            <w:tcW w:w="110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HRA Fee</w:t>
            </w:r>
          </w:p>
        </w:tc>
        <w:tc>
          <w:tcPr>
            <w:tcW w:w="120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HRA Deductible Exposure</w:t>
            </w:r>
          </w:p>
        </w:tc>
        <w:tc>
          <w:tcPr>
            <w:tcW w:w="128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FSA Contribution</w:t>
            </w:r>
          </w:p>
        </w:tc>
        <w:tc>
          <w:tcPr>
            <w:tcW w:w="116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H.S.A. Contribution</w:t>
            </w:r>
          </w:p>
        </w:tc>
        <w:tc>
          <w:tcPr>
            <w:tcW w:w="1240" w:type="dxa"/>
            <w:tcBorders>
              <w:top w:val="single" w:sz="8" w:space="0" w:color="auto"/>
              <w:left w:val="nil"/>
              <w:bottom w:val="single" w:sz="8" w:space="0" w:color="auto"/>
              <w:right w:val="nil"/>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 xml:space="preserve"> Dependent Coverage Contribution</w:t>
            </w:r>
          </w:p>
        </w:tc>
        <w:tc>
          <w:tcPr>
            <w:tcW w:w="1160" w:type="dxa"/>
            <w:tcBorders>
              <w:top w:val="single" w:sz="8" w:space="0" w:color="auto"/>
              <w:left w:val="nil"/>
              <w:bottom w:val="single" w:sz="8" w:space="0" w:color="auto"/>
              <w:right w:val="single" w:sz="8" w:space="0" w:color="auto"/>
            </w:tcBorders>
            <w:shd w:val="clear" w:color="000000" w:fill="0070C0"/>
            <w:vAlign w:val="bottom"/>
            <w:hideMark/>
          </w:tcPr>
          <w:p w:rsidR="005F48A6" w:rsidRPr="005F48A6" w:rsidRDefault="005F48A6" w:rsidP="005F48A6">
            <w:pPr>
              <w:jc w:val="center"/>
              <w:rPr>
                <w:rFonts w:ascii="Times New Roman" w:hAnsi="Times New Roman"/>
                <w:b/>
                <w:bCs/>
                <w:color w:val="FFFFFF"/>
                <w:sz w:val="18"/>
                <w:szCs w:val="18"/>
              </w:rPr>
            </w:pPr>
            <w:r w:rsidRPr="005F48A6">
              <w:rPr>
                <w:rFonts w:ascii="Times New Roman" w:hAnsi="Times New Roman"/>
                <w:b/>
                <w:bCs/>
                <w:color w:val="FFFFFF"/>
                <w:sz w:val="18"/>
                <w:szCs w:val="18"/>
              </w:rPr>
              <w:t xml:space="preserve">College Cost </w:t>
            </w:r>
          </w:p>
        </w:tc>
      </w:tr>
      <w:tr w:rsidR="005F48A6" w:rsidRPr="005F48A6" w:rsidTr="005F48A6">
        <w:trPr>
          <w:trHeight w:val="264"/>
        </w:trPr>
        <w:tc>
          <w:tcPr>
            <w:tcW w:w="820" w:type="dxa"/>
            <w:tcBorders>
              <w:top w:val="nil"/>
              <w:left w:val="single" w:sz="8" w:space="0" w:color="auto"/>
              <w:bottom w:val="nil"/>
              <w:right w:val="single" w:sz="8" w:space="0" w:color="auto"/>
            </w:tcBorders>
            <w:shd w:val="clear" w:color="auto" w:fill="auto"/>
            <w:noWrap/>
            <w:vAlign w:val="bottom"/>
            <w:hideMark/>
          </w:tcPr>
          <w:p w:rsidR="005F48A6" w:rsidRPr="005F48A6" w:rsidRDefault="005F48A6" w:rsidP="005F48A6">
            <w:pPr>
              <w:jc w:val="right"/>
              <w:rPr>
                <w:rFonts w:ascii="Times New Roman" w:hAnsi="Times New Roman"/>
                <w:color w:val="000000"/>
                <w:sz w:val="18"/>
                <w:szCs w:val="18"/>
              </w:rPr>
            </w:pPr>
            <w:r w:rsidRPr="005F48A6">
              <w:rPr>
                <w:rFonts w:ascii="Times New Roman" w:hAnsi="Times New Roman"/>
                <w:color w:val="000000"/>
                <w:sz w:val="18"/>
                <w:szCs w:val="18"/>
              </w:rPr>
              <w:t>Monthly</w:t>
            </w:r>
          </w:p>
        </w:tc>
        <w:tc>
          <w:tcPr>
            <w:tcW w:w="112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$92,864</w:t>
            </w:r>
          </w:p>
        </w:tc>
        <w:tc>
          <w:tcPr>
            <w:tcW w:w="110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$923</w:t>
            </w:r>
          </w:p>
        </w:tc>
        <w:tc>
          <w:tcPr>
            <w:tcW w:w="120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$9,510</w:t>
            </w:r>
          </w:p>
        </w:tc>
        <w:tc>
          <w:tcPr>
            <w:tcW w:w="128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$1,982</w:t>
            </w:r>
          </w:p>
        </w:tc>
        <w:tc>
          <w:tcPr>
            <w:tcW w:w="116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$19,436</w:t>
            </w:r>
          </w:p>
        </w:tc>
        <w:tc>
          <w:tcPr>
            <w:tcW w:w="1240" w:type="dxa"/>
            <w:tcBorders>
              <w:top w:val="nil"/>
              <w:left w:val="nil"/>
              <w:bottom w:val="nil"/>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$5,228</w:t>
            </w:r>
          </w:p>
        </w:tc>
        <w:tc>
          <w:tcPr>
            <w:tcW w:w="1160" w:type="dxa"/>
            <w:tcBorders>
              <w:top w:val="nil"/>
              <w:left w:val="nil"/>
              <w:bottom w:val="nil"/>
              <w:right w:val="single" w:sz="8" w:space="0" w:color="auto"/>
            </w:tcBorders>
            <w:shd w:val="clear" w:color="auto" w:fill="auto"/>
            <w:noWrap/>
            <w:vAlign w:val="bottom"/>
            <w:hideMark/>
          </w:tcPr>
          <w:p w:rsidR="005F48A6" w:rsidRPr="005F48A6" w:rsidRDefault="00AC6643" w:rsidP="00AC6643">
            <w:pPr>
              <w:jc w:val="center"/>
              <w:rPr>
                <w:rFonts w:ascii="Times New Roman" w:hAnsi="Times New Roman"/>
                <w:color w:val="000000"/>
                <w:sz w:val="18"/>
                <w:szCs w:val="18"/>
              </w:rPr>
            </w:pPr>
            <w:r>
              <w:rPr>
                <w:rFonts w:ascii="Times New Roman" w:hAnsi="Times New Roman"/>
                <w:color w:val="000000"/>
                <w:sz w:val="18"/>
                <w:szCs w:val="18"/>
              </w:rPr>
              <w:t>$129,942</w:t>
            </w:r>
          </w:p>
        </w:tc>
      </w:tr>
      <w:tr w:rsidR="005F48A6" w:rsidRPr="005F48A6" w:rsidTr="005F48A6">
        <w:trPr>
          <w:trHeight w:val="276"/>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rsidR="005F48A6" w:rsidRPr="005F48A6" w:rsidRDefault="005F48A6" w:rsidP="005F48A6">
            <w:pPr>
              <w:jc w:val="right"/>
              <w:rPr>
                <w:rFonts w:ascii="Times New Roman" w:hAnsi="Times New Roman"/>
                <w:color w:val="000000"/>
                <w:sz w:val="18"/>
                <w:szCs w:val="18"/>
              </w:rPr>
            </w:pPr>
            <w:r w:rsidRPr="005F48A6">
              <w:rPr>
                <w:rFonts w:ascii="Times New Roman" w:hAnsi="Times New Roman"/>
                <w:color w:val="000000"/>
                <w:sz w:val="18"/>
                <w:szCs w:val="18"/>
              </w:rPr>
              <w:t>Annual</w:t>
            </w:r>
          </w:p>
        </w:tc>
        <w:tc>
          <w:tcPr>
            <w:tcW w:w="112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$1,114,363</w:t>
            </w:r>
          </w:p>
        </w:tc>
        <w:tc>
          <w:tcPr>
            <w:tcW w:w="110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$11,070</w:t>
            </w:r>
          </w:p>
        </w:tc>
        <w:tc>
          <w:tcPr>
            <w:tcW w:w="120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$114,119</w:t>
            </w:r>
          </w:p>
        </w:tc>
        <w:tc>
          <w:tcPr>
            <w:tcW w:w="128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$23,784</w:t>
            </w:r>
          </w:p>
        </w:tc>
        <w:tc>
          <w:tcPr>
            <w:tcW w:w="116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$233,232</w:t>
            </w:r>
          </w:p>
        </w:tc>
        <w:tc>
          <w:tcPr>
            <w:tcW w:w="1240" w:type="dxa"/>
            <w:tcBorders>
              <w:top w:val="nil"/>
              <w:left w:val="nil"/>
              <w:bottom w:val="single" w:sz="8" w:space="0" w:color="auto"/>
              <w:right w:val="nil"/>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$62,734</w:t>
            </w:r>
          </w:p>
        </w:tc>
        <w:tc>
          <w:tcPr>
            <w:tcW w:w="1160" w:type="dxa"/>
            <w:tcBorders>
              <w:top w:val="nil"/>
              <w:left w:val="nil"/>
              <w:bottom w:val="single" w:sz="8" w:space="0" w:color="auto"/>
              <w:right w:val="single" w:sz="8" w:space="0" w:color="auto"/>
            </w:tcBorders>
            <w:shd w:val="clear" w:color="auto" w:fill="auto"/>
            <w:noWrap/>
            <w:vAlign w:val="bottom"/>
            <w:hideMark/>
          </w:tcPr>
          <w:p w:rsidR="005F48A6" w:rsidRPr="005F48A6" w:rsidRDefault="005F48A6" w:rsidP="005F48A6">
            <w:pPr>
              <w:jc w:val="center"/>
              <w:rPr>
                <w:rFonts w:ascii="Times New Roman" w:hAnsi="Times New Roman"/>
                <w:color w:val="000000"/>
                <w:sz w:val="18"/>
                <w:szCs w:val="18"/>
              </w:rPr>
            </w:pPr>
            <w:r w:rsidRPr="005F48A6">
              <w:rPr>
                <w:rFonts w:ascii="Times New Roman" w:hAnsi="Times New Roman"/>
                <w:color w:val="000000"/>
                <w:sz w:val="18"/>
                <w:szCs w:val="18"/>
              </w:rPr>
              <w:t>$1,559,302</w:t>
            </w:r>
          </w:p>
        </w:tc>
      </w:tr>
    </w:tbl>
    <w:p w:rsidR="00494BA3" w:rsidRDefault="00494BA3" w:rsidP="00106512">
      <w:pPr>
        <w:pStyle w:val="BodyText"/>
        <w:spacing w:after="0" w:line="240" w:lineRule="auto"/>
        <w:ind w:firstLine="0"/>
        <w:rPr>
          <w:rFonts w:ascii="Times New Roman" w:hAnsi="Times New Roman"/>
          <w:sz w:val="24"/>
          <w:szCs w:val="24"/>
        </w:rPr>
      </w:pPr>
    </w:p>
    <w:p w:rsidR="00106512" w:rsidRPr="005F48A6" w:rsidRDefault="00106512" w:rsidP="00106512">
      <w:pPr>
        <w:pStyle w:val="BodyText"/>
        <w:spacing w:after="0" w:line="240" w:lineRule="auto"/>
        <w:ind w:firstLine="0"/>
        <w:rPr>
          <w:rFonts w:ascii="Times New Roman" w:hAnsi="Times New Roman"/>
          <w:b/>
          <w:caps/>
          <w:sz w:val="24"/>
          <w:szCs w:val="24"/>
        </w:rPr>
      </w:pPr>
      <w:r w:rsidRPr="005F48A6">
        <w:rPr>
          <w:rFonts w:ascii="Times New Roman" w:hAnsi="Times New Roman"/>
          <w:b/>
          <w:caps/>
          <w:sz w:val="24"/>
          <w:szCs w:val="24"/>
        </w:rPr>
        <w:lastRenderedPageBreak/>
        <w:t>Dental</w:t>
      </w:r>
    </w:p>
    <w:p w:rsidR="006C3B66" w:rsidRDefault="00106512" w:rsidP="006C3B66">
      <w:pPr>
        <w:pStyle w:val="BodyText"/>
        <w:spacing w:after="0" w:line="240" w:lineRule="auto"/>
        <w:ind w:firstLine="0"/>
        <w:rPr>
          <w:rFonts w:ascii="Times New Roman" w:hAnsi="Times New Roman"/>
          <w:sz w:val="24"/>
          <w:szCs w:val="24"/>
        </w:rPr>
      </w:pPr>
      <w:r>
        <w:rPr>
          <w:rFonts w:ascii="Times New Roman" w:hAnsi="Times New Roman"/>
          <w:sz w:val="24"/>
          <w:szCs w:val="24"/>
        </w:rPr>
        <w:t>In 2016, we moved to Delta Dental</w:t>
      </w:r>
      <w:r w:rsidR="006C3B66">
        <w:rPr>
          <w:rFonts w:ascii="Times New Roman" w:hAnsi="Times New Roman"/>
          <w:sz w:val="24"/>
          <w:szCs w:val="24"/>
        </w:rPr>
        <w:t xml:space="preserve"> with a two year rate guarantee.</w:t>
      </w:r>
      <w:r>
        <w:rPr>
          <w:rFonts w:ascii="Times New Roman" w:hAnsi="Times New Roman"/>
          <w:sz w:val="24"/>
          <w:szCs w:val="24"/>
        </w:rPr>
        <w:t xml:space="preserve"> </w:t>
      </w:r>
      <w:r w:rsidR="006C3B66">
        <w:rPr>
          <w:rFonts w:ascii="Times New Roman" w:hAnsi="Times New Roman"/>
          <w:sz w:val="24"/>
          <w:szCs w:val="24"/>
        </w:rPr>
        <w:t xml:space="preserve">Delta Dental has the largest network of providers in Missouri, annual Maximum Benefit at $1,250 and the Max Advantage Benefit. </w:t>
      </w:r>
    </w:p>
    <w:p w:rsidR="006C3B66" w:rsidRDefault="006C3B66" w:rsidP="00106512">
      <w:pPr>
        <w:pStyle w:val="BodyText"/>
        <w:spacing w:after="0" w:line="240" w:lineRule="auto"/>
        <w:ind w:firstLine="0"/>
        <w:rPr>
          <w:rFonts w:ascii="Times New Roman" w:hAnsi="Times New Roman"/>
          <w:sz w:val="24"/>
          <w:szCs w:val="24"/>
        </w:rPr>
      </w:pPr>
    </w:p>
    <w:p w:rsidR="006C3B66" w:rsidRPr="00641ACE" w:rsidRDefault="006C3B66" w:rsidP="00106512">
      <w:pPr>
        <w:pStyle w:val="BodyText"/>
        <w:spacing w:after="0" w:line="240" w:lineRule="auto"/>
        <w:ind w:firstLine="0"/>
        <w:rPr>
          <w:rFonts w:ascii="Times New Roman" w:hAnsi="Times New Roman"/>
          <w:sz w:val="24"/>
          <w:szCs w:val="24"/>
          <w:u w:val="single"/>
        </w:rPr>
      </w:pPr>
      <w:r w:rsidRPr="00641ACE">
        <w:rPr>
          <w:rFonts w:ascii="Times New Roman" w:hAnsi="Times New Roman"/>
          <w:sz w:val="24"/>
          <w:szCs w:val="24"/>
          <w:u w:val="single"/>
        </w:rPr>
        <w:t>2017 Estimated Dental Insurance Premium Cost</w:t>
      </w:r>
    </w:p>
    <w:p w:rsidR="006C3B66" w:rsidRDefault="006C3B66"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w:t>
      </w:r>
      <w:r w:rsidR="00341D43">
        <w:rPr>
          <w:rFonts w:ascii="Times New Roman" w:hAnsi="Times New Roman"/>
          <w:sz w:val="24"/>
          <w:szCs w:val="24"/>
        </w:rPr>
        <w:t xml:space="preserve">       3</w:t>
      </w:r>
      <w:r>
        <w:rPr>
          <w:rFonts w:ascii="Times New Roman" w:hAnsi="Times New Roman"/>
          <w:sz w:val="24"/>
          <w:szCs w:val="24"/>
        </w:rPr>
        <w:t xml:space="preserve">3.60 </w:t>
      </w:r>
      <w:r w:rsidR="0095186C">
        <w:rPr>
          <w:rFonts w:ascii="Times New Roman" w:hAnsi="Times New Roman"/>
          <w:sz w:val="24"/>
          <w:szCs w:val="24"/>
        </w:rPr>
        <w:tab/>
      </w:r>
      <w:r>
        <w:rPr>
          <w:rFonts w:ascii="Times New Roman" w:hAnsi="Times New Roman"/>
          <w:sz w:val="24"/>
          <w:szCs w:val="24"/>
        </w:rPr>
        <w:t>Monthly - Employee only</w:t>
      </w:r>
    </w:p>
    <w:p w:rsidR="006C3B66" w:rsidRDefault="006C3B66"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w:t>
      </w:r>
      <w:r w:rsidR="00341D43">
        <w:rPr>
          <w:rFonts w:ascii="Times New Roman" w:hAnsi="Times New Roman"/>
          <w:sz w:val="24"/>
          <w:szCs w:val="24"/>
        </w:rPr>
        <w:t xml:space="preserve">  </w:t>
      </w:r>
      <w:r>
        <w:rPr>
          <w:rFonts w:ascii="Times New Roman" w:hAnsi="Times New Roman"/>
          <w:sz w:val="24"/>
          <w:szCs w:val="24"/>
        </w:rPr>
        <w:t>6,888</w:t>
      </w:r>
      <w:r w:rsidR="00341D43">
        <w:rPr>
          <w:rFonts w:ascii="Times New Roman" w:hAnsi="Times New Roman"/>
          <w:sz w:val="24"/>
          <w:szCs w:val="24"/>
        </w:rPr>
        <w:t>.00</w:t>
      </w:r>
      <w:r>
        <w:rPr>
          <w:rFonts w:ascii="Times New Roman" w:hAnsi="Times New Roman"/>
          <w:sz w:val="24"/>
          <w:szCs w:val="24"/>
        </w:rPr>
        <w:t xml:space="preserve"> </w:t>
      </w:r>
      <w:r w:rsidR="0095186C">
        <w:rPr>
          <w:rFonts w:ascii="Times New Roman" w:hAnsi="Times New Roman"/>
          <w:sz w:val="24"/>
          <w:szCs w:val="24"/>
        </w:rPr>
        <w:tab/>
      </w:r>
      <w:r>
        <w:rPr>
          <w:rFonts w:ascii="Times New Roman" w:hAnsi="Times New Roman"/>
          <w:sz w:val="24"/>
          <w:szCs w:val="24"/>
        </w:rPr>
        <w:t xml:space="preserve">Monthly - 205 employees </w:t>
      </w:r>
    </w:p>
    <w:p w:rsidR="00106512" w:rsidRDefault="006C3B66" w:rsidP="00106512">
      <w:pPr>
        <w:pStyle w:val="BodyText"/>
        <w:spacing w:after="0" w:line="240" w:lineRule="auto"/>
        <w:ind w:firstLine="0"/>
        <w:rPr>
          <w:rFonts w:ascii="Times New Roman" w:hAnsi="Times New Roman"/>
          <w:sz w:val="24"/>
          <w:szCs w:val="24"/>
        </w:rPr>
      </w:pPr>
      <w:r>
        <w:rPr>
          <w:rFonts w:ascii="Times New Roman" w:hAnsi="Times New Roman"/>
          <w:sz w:val="24"/>
          <w:szCs w:val="24"/>
        </w:rPr>
        <w:t>$82,656</w:t>
      </w:r>
      <w:r w:rsidR="00341D43">
        <w:rPr>
          <w:rFonts w:ascii="Times New Roman" w:hAnsi="Times New Roman"/>
          <w:sz w:val="24"/>
          <w:szCs w:val="24"/>
        </w:rPr>
        <w:t>.00</w:t>
      </w:r>
      <w:r>
        <w:rPr>
          <w:rFonts w:ascii="Times New Roman" w:hAnsi="Times New Roman"/>
          <w:sz w:val="24"/>
          <w:szCs w:val="24"/>
        </w:rPr>
        <w:tab/>
        <w:t>Annual Cost</w:t>
      </w:r>
      <w:r w:rsidR="0095186C">
        <w:rPr>
          <w:rFonts w:ascii="Times New Roman" w:hAnsi="Times New Roman"/>
          <w:sz w:val="24"/>
          <w:szCs w:val="24"/>
        </w:rPr>
        <w:t xml:space="preserve"> </w:t>
      </w:r>
      <w:r>
        <w:rPr>
          <w:rFonts w:ascii="Times New Roman" w:hAnsi="Times New Roman"/>
          <w:sz w:val="24"/>
          <w:szCs w:val="24"/>
        </w:rPr>
        <w:t xml:space="preserve">based on 205 employees </w:t>
      </w:r>
    </w:p>
    <w:p w:rsidR="00C940EA" w:rsidRDefault="00C940EA"/>
    <w:p w:rsidR="00106512" w:rsidRPr="005F48A6" w:rsidRDefault="00106512" w:rsidP="00106512">
      <w:pPr>
        <w:pStyle w:val="BodyText"/>
        <w:spacing w:after="0" w:line="240" w:lineRule="auto"/>
        <w:ind w:firstLine="0"/>
        <w:rPr>
          <w:rFonts w:ascii="Times New Roman" w:hAnsi="Times New Roman"/>
          <w:b/>
          <w:caps/>
          <w:sz w:val="24"/>
          <w:szCs w:val="24"/>
        </w:rPr>
      </w:pPr>
      <w:r w:rsidRPr="005F48A6">
        <w:rPr>
          <w:rFonts w:ascii="Times New Roman" w:hAnsi="Times New Roman"/>
          <w:b/>
          <w:caps/>
          <w:sz w:val="24"/>
          <w:szCs w:val="24"/>
        </w:rPr>
        <w:t>Vision</w:t>
      </w:r>
    </w:p>
    <w:p w:rsidR="00341D43" w:rsidRDefault="00341D43" w:rsidP="00341D43">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The College has </w:t>
      </w:r>
      <w:r w:rsidR="00B01BDC">
        <w:rPr>
          <w:rFonts w:ascii="Times New Roman" w:hAnsi="Times New Roman"/>
          <w:sz w:val="24"/>
          <w:szCs w:val="24"/>
        </w:rPr>
        <w:t>been Vision Service Provider (VSP) for over ten years and have a</w:t>
      </w:r>
      <w:r>
        <w:rPr>
          <w:rFonts w:ascii="Times New Roman" w:hAnsi="Times New Roman"/>
          <w:sz w:val="24"/>
          <w:szCs w:val="24"/>
        </w:rPr>
        <w:t xml:space="preserve"> rate lock with no premium increase through 2018. </w:t>
      </w:r>
    </w:p>
    <w:p w:rsidR="00341D43" w:rsidRDefault="00341D43" w:rsidP="00341D43">
      <w:pPr>
        <w:pStyle w:val="BodyText"/>
        <w:spacing w:after="0" w:line="240" w:lineRule="auto"/>
        <w:ind w:firstLine="0"/>
        <w:rPr>
          <w:rFonts w:ascii="Times New Roman" w:hAnsi="Times New Roman"/>
          <w:sz w:val="24"/>
          <w:szCs w:val="24"/>
        </w:rPr>
      </w:pPr>
    </w:p>
    <w:p w:rsidR="00341D43" w:rsidRPr="00EA1786" w:rsidRDefault="00341D43" w:rsidP="00341D43">
      <w:pPr>
        <w:pStyle w:val="BodyText"/>
        <w:spacing w:after="0" w:line="240" w:lineRule="auto"/>
        <w:ind w:firstLine="0"/>
        <w:rPr>
          <w:rFonts w:ascii="Times New Roman" w:hAnsi="Times New Roman"/>
          <w:color w:val="FF0000"/>
          <w:sz w:val="24"/>
          <w:szCs w:val="24"/>
        </w:rPr>
      </w:pPr>
      <w:r w:rsidRPr="00BA0D8E">
        <w:rPr>
          <w:rFonts w:ascii="Times New Roman" w:hAnsi="Times New Roman"/>
          <w:sz w:val="24"/>
          <w:szCs w:val="24"/>
          <w:u w:val="single"/>
        </w:rPr>
        <w:t xml:space="preserve">2017 Estimated </w:t>
      </w:r>
      <w:r w:rsidR="00EA1786" w:rsidRPr="00BA0D8E">
        <w:rPr>
          <w:rFonts w:ascii="Times New Roman" w:hAnsi="Times New Roman"/>
          <w:sz w:val="24"/>
          <w:szCs w:val="24"/>
          <w:u w:val="single"/>
        </w:rPr>
        <w:t xml:space="preserve">Vision </w:t>
      </w:r>
      <w:r w:rsidRPr="00BA0D8E">
        <w:rPr>
          <w:rFonts w:ascii="Times New Roman" w:hAnsi="Times New Roman"/>
          <w:sz w:val="24"/>
          <w:szCs w:val="24"/>
          <w:u w:val="single"/>
        </w:rPr>
        <w:t>Insurance Premium Cost</w:t>
      </w:r>
      <w:r w:rsidR="00EA1786">
        <w:rPr>
          <w:rFonts w:ascii="Times New Roman" w:hAnsi="Times New Roman"/>
          <w:b/>
          <w:sz w:val="24"/>
          <w:szCs w:val="24"/>
        </w:rPr>
        <w:t xml:space="preserve"> </w:t>
      </w:r>
    </w:p>
    <w:p w:rsidR="00341D43" w:rsidRDefault="00341D43" w:rsidP="00341D43">
      <w:pPr>
        <w:pStyle w:val="BodyText"/>
        <w:spacing w:after="0" w:line="240" w:lineRule="auto"/>
        <w:ind w:firstLine="0"/>
        <w:rPr>
          <w:rFonts w:ascii="Times New Roman" w:hAnsi="Times New Roman"/>
          <w:sz w:val="24"/>
          <w:szCs w:val="24"/>
        </w:rPr>
      </w:pPr>
      <w:r>
        <w:rPr>
          <w:rFonts w:ascii="Times New Roman" w:hAnsi="Times New Roman"/>
          <w:sz w:val="24"/>
          <w:szCs w:val="24"/>
        </w:rPr>
        <w:t>$        6.04</w:t>
      </w:r>
      <w:r>
        <w:rPr>
          <w:rFonts w:ascii="Times New Roman" w:hAnsi="Times New Roman"/>
          <w:sz w:val="24"/>
          <w:szCs w:val="24"/>
        </w:rPr>
        <w:tab/>
        <w:t>Monthly - Employee only</w:t>
      </w:r>
    </w:p>
    <w:p w:rsidR="00341D43" w:rsidRDefault="00341D43" w:rsidP="00341D43">
      <w:pPr>
        <w:pStyle w:val="BodyText"/>
        <w:spacing w:after="0" w:line="240" w:lineRule="auto"/>
        <w:ind w:firstLine="0"/>
        <w:rPr>
          <w:rFonts w:ascii="Times New Roman" w:hAnsi="Times New Roman"/>
          <w:sz w:val="24"/>
          <w:szCs w:val="24"/>
        </w:rPr>
      </w:pPr>
      <w:r>
        <w:rPr>
          <w:rFonts w:ascii="Times New Roman" w:hAnsi="Times New Roman"/>
          <w:sz w:val="24"/>
          <w:szCs w:val="24"/>
        </w:rPr>
        <w:t>$  1,238.20</w:t>
      </w:r>
      <w:r>
        <w:rPr>
          <w:rFonts w:ascii="Times New Roman" w:hAnsi="Times New Roman"/>
          <w:sz w:val="24"/>
          <w:szCs w:val="24"/>
        </w:rPr>
        <w:tab/>
        <w:t xml:space="preserve">Monthly - 205 employees </w:t>
      </w:r>
    </w:p>
    <w:p w:rsidR="00341D43" w:rsidRDefault="00341D43" w:rsidP="00341D43">
      <w:pPr>
        <w:pStyle w:val="BodyText"/>
        <w:spacing w:after="0" w:line="240" w:lineRule="auto"/>
        <w:ind w:firstLine="0"/>
        <w:rPr>
          <w:rFonts w:ascii="Times New Roman" w:hAnsi="Times New Roman"/>
          <w:sz w:val="24"/>
          <w:szCs w:val="24"/>
        </w:rPr>
      </w:pPr>
      <w:r>
        <w:rPr>
          <w:rFonts w:ascii="Times New Roman" w:hAnsi="Times New Roman"/>
          <w:sz w:val="24"/>
          <w:szCs w:val="24"/>
        </w:rPr>
        <w:t>$14,858.40</w:t>
      </w:r>
      <w:r>
        <w:rPr>
          <w:rFonts w:ascii="Times New Roman" w:hAnsi="Times New Roman"/>
          <w:sz w:val="24"/>
          <w:szCs w:val="24"/>
        </w:rPr>
        <w:tab/>
        <w:t xml:space="preserve">Annual Cost based on 205 employees </w:t>
      </w:r>
    </w:p>
    <w:p w:rsidR="00341D43" w:rsidRDefault="00341D43" w:rsidP="00106512">
      <w:pPr>
        <w:pStyle w:val="BodyText"/>
        <w:spacing w:after="0" w:line="240" w:lineRule="auto"/>
        <w:ind w:firstLine="0"/>
        <w:rPr>
          <w:rFonts w:ascii="Times New Roman" w:hAnsi="Times New Roman"/>
          <w:sz w:val="24"/>
          <w:szCs w:val="24"/>
        </w:rPr>
      </w:pPr>
    </w:p>
    <w:p w:rsidR="00106512" w:rsidRPr="005F48A6" w:rsidRDefault="00106512" w:rsidP="00106512">
      <w:pPr>
        <w:pStyle w:val="BodyText"/>
        <w:spacing w:after="0" w:line="240" w:lineRule="auto"/>
        <w:ind w:firstLine="0"/>
        <w:rPr>
          <w:rFonts w:ascii="Times New Roman" w:hAnsi="Times New Roman"/>
          <w:caps/>
          <w:color w:val="FF0000"/>
          <w:sz w:val="24"/>
          <w:szCs w:val="24"/>
        </w:rPr>
      </w:pPr>
      <w:r w:rsidRPr="005F48A6">
        <w:rPr>
          <w:rFonts w:ascii="Times New Roman" w:hAnsi="Times New Roman"/>
          <w:b/>
          <w:caps/>
          <w:sz w:val="24"/>
          <w:szCs w:val="24"/>
        </w:rPr>
        <w:t>Basic life/AD&amp;D and long-term disability</w:t>
      </w:r>
    </w:p>
    <w:p w:rsidR="00436E6C" w:rsidRDefault="0040101B"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In 2016, we moved </w:t>
      </w:r>
      <w:r w:rsidR="00B01BDC">
        <w:rPr>
          <w:rFonts w:ascii="Times New Roman" w:hAnsi="Times New Roman"/>
          <w:sz w:val="24"/>
          <w:szCs w:val="24"/>
        </w:rPr>
        <w:t xml:space="preserve">basic life/AD&amp;D and long-term disability </w:t>
      </w:r>
      <w:r>
        <w:rPr>
          <w:rFonts w:ascii="Times New Roman" w:hAnsi="Times New Roman"/>
          <w:sz w:val="24"/>
          <w:szCs w:val="24"/>
        </w:rPr>
        <w:t xml:space="preserve">to Anthem Life </w:t>
      </w:r>
      <w:r w:rsidR="00B01BDC">
        <w:rPr>
          <w:rFonts w:ascii="Times New Roman" w:hAnsi="Times New Roman"/>
          <w:sz w:val="24"/>
          <w:szCs w:val="24"/>
        </w:rPr>
        <w:t xml:space="preserve">Basic and have </w:t>
      </w:r>
      <w:r w:rsidR="00457B10">
        <w:rPr>
          <w:rFonts w:ascii="Times New Roman" w:hAnsi="Times New Roman"/>
          <w:sz w:val="24"/>
          <w:szCs w:val="24"/>
        </w:rPr>
        <w:t xml:space="preserve">a rate lock with </w:t>
      </w:r>
      <w:r w:rsidR="00B01BDC">
        <w:rPr>
          <w:rFonts w:ascii="Times New Roman" w:hAnsi="Times New Roman"/>
          <w:sz w:val="24"/>
          <w:szCs w:val="24"/>
        </w:rPr>
        <w:t>no premium increase in 2017</w:t>
      </w:r>
      <w:r>
        <w:rPr>
          <w:rFonts w:ascii="Times New Roman" w:hAnsi="Times New Roman"/>
          <w:sz w:val="24"/>
          <w:szCs w:val="24"/>
        </w:rPr>
        <w:t xml:space="preserve">. </w:t>
      </w:r>
    </w:p>
    <w:p w:rsidR="00436E6C" w:rsidRDefault="00436E6C" w:rsidP="00436E6C">
      <w:pPr>
        <w:pStyle w:val="BodyText"/>
        <w:spacing w:after="0" w:line="240" w:lineRule="auto"/>
        <w:ind w:firstLine="0"/>
        <w:rPr>
          <w:rFonts w:ascii="Times New Roman" w:hAnsi="Times New Roman"/>
          <w:sz w:val="24"/>
          <w:szCs w:val="24"/>
        </w:rPr>
      </w:pPr>
    </w:p>
    <w:p w:rsidR="00436E6C" w:rsidRDefault="00436E6C" w:rsidP="00436E6C">
      <w:pPr>
        <w:pStyle w:val="BodyText"/>
        <w:spacing w:after="0" w:line="240" w:lineRule="auto"/>
        <w:ind w:firstLine="0"/>
        <w:rPr>
          <w:rFonts w:ascii="Times New Roman" w:hAnsi="Times New Roman"/>
          <w:sz w:val="24"/>
          <w:szCs w:val="24"/>
          <w:u w:val="single"/>
        </w:rPr>
      </w:pPr>
      <w:r>
        <w:rPr>
          <w:rFonts w:ascii="Times New Roman" w:hAnsi="Times New Roman"/>
          <w:sz w:val="24"/>
          <w:szCs w:val="24"/>
          <w:u w:val="single"/>
        </w:rPr>
        <w:t>2017 Estimated Life Insurance Premium Cost</w:t>
      </w:r>
    </w:p>
    <w:p w:rsidR="00436E6C" w:rsidRPr="00706E8F" w:rsidRDefault="00436E6C" w:rsidP="00436E6C">
      <w:pPr>
        <w:pStyle w:val="BodyText"/>
        <w:spacing w:after="0" w:line="240" w:lineRule="auto"/>
        <w:ind w:firstLine="0"/>
        <w:rPr>
          <w:rFonts w:ascii="Times New Roman" w:hAnsi="Times New Roman"/>
          <w:sz w:val="24"/>
          <w:szCs w:val="24"/>
        </w:rPr>
      </w:pPr>
      <w:r w:rsidRPr="00706E8F">
        <w:rPr>
          <w:rFonts w:ascii="Times New Roman" w:hAnsi="Times New Roman"/>
          <w:sz w:val="24"/>
          <w:szCs w:val="24"/>
        </w:rPr>
        <w:t>$</w:t>
      </w:r>
      <w:r w:rsidRPr="00706E8F">
        <w:rPr>
          <w:rFonts w:ascii="Times New Roman" w:hAnsi="Times New Roman"/>
          <w:sz w:val="24"/>
          <w:szCs w:val="24"/>
        </w:rPr>
        <w:tab/>
      </w:r>
      <w:r w:rsidR="00457B10">
        <w:rPr>
          <w:rFonts w:ascii="Times New Roman" w:hAnsi="Times New Roman"/>
          <w:sz w:val="24"/>
          <w:szCs w:val="24"/>
        </w:rPr>
        <w:t xml:space="preserve"> </w:t>
      </w:r>
      <w:r w:rsidRPr="00706E8F">
        <w:rPr>
          <w:rFonts w:ascii="Times New Roman" w:hAnsi="Times New Roman"/>
          <w:sz w:val="24"/>
          <w:szCs w:val="24"/>
        </w:rPr>
        <w:t>.082</w:t>
      </w:r>
      <w:r w:rsidRPr="00706E8F">
        <w:rPr>
          <w:rFonts w:ascii="Times New Roman" w:hAnsi="Times New Roman"/>
          <w:sz w:val="24"/>
          <w:szCs w:val="24"/>
        </w:rPr>
        <w:tab/>
        <w:t>per $1,000 of coverage</w:t>
      </w:r>
    </w:p>
    <w:p w:rsidR="00436E6C" w:rsidRPr="00706E8F" w:rsidRDefault="00436E6C" w:rsidP="00436E6C">
      <w:pPr>
        <w:pStyle w:val="BodyText"/>
        <w:spacing w:after="0" w:line="240" w:lineRule="auto"/>
        <w:ind w:firstLine="0"/>
        <w:rPr>
          <w:rFonts w:ascii="Times New Roman" w:hAnsi="Times New Roman"/>
          <w:sz w:val="24"/>
          <w:szCs w:val="24"/>
        </w:rPr>
      </w:pPr>
      <w:r w:rsidRPr="00706E8F">
        <w:rPr>
          <w:rFonts w:ascii="Times New Roman" w:hAnsi="Times New Roman"/>
          <w:sz w:val="24"/>
          <w:szCs w:val="24"/>
        </w:rPr>
        <w:t>$      814.26</w:t>
      </w:r>
      <w:r w:rsidRPr="00706E8F">
        <w:rPr>
          <w:rFonts w:ascii="Times New Roman" w:hAnsi="Times New Roman"/>
          <w:sz w:val="24"/>
          <w:szCs w:val="24"/>
        </w:rPr>
        <w:tab/>
        <w:t>Monthly Employer Cost based on $9,930,000 volume</w:t>
      </w:r>
    </w:p>
    <w:p w:rsidR="00436E6C" w:rsidRPr="00706E8F" w:rsidRDefault="00436E6C" w:rsidP="00436E6C">
      <w:pPr>
        <w:pStyle w:val="BodyText"/>
        <w:spacing w:after="0" w:line="240" w:lineRule="auto"/>
        <w:ind w:firstLine="0"/>
        <w:rPr>
          <w:rFonts w:ascii="Times New Roman" w:hAnsi="Times New Roman"/>
          <w:sz w:val="24"/>
          <w:szCs w:val="24"/>
        </w:rPr>
      </w:pPr>
      <w:r w:rsidRPr="00706E8F">
        <w:rPr>
          <w:rFonts w:ascii="Times New Roman" w:hAnsi="Times New Roman"/>
          <w:sz w:val="24"/>
          <w:szCs w:val="24"/>
        </w:rPr>
        <w:t>$   9,771.12</w:t>
      </w:r>
      <w:r w:rsidRPr="00706E8F">
        <w:rPr>
          <w:rFonts w:ascii="Times New Roman" w:hAnsi="Times New Roman"/>
          <w:sz w:val="24"/>
          <w:szCs w:val="24"/>
        </w:rPr>
        <w:tab/>
        <w:t>Annual Employer Cost</w:t>
      </w:r>
    </w:p>
    <w:p w:rsidR="00436E6C" w:rsidRDefault="00436E6C" w:rsidP="00436E6C">
      <w:pPr>
        <w:pStyle w:val="BodyText"/>
        <w:spacing w:after="0" w:line="240" w:lineRule="auto"/>
        <w:ind w:firstLine="0"/>
        <w:rPr>
          <w:rFonts w:ascii="Times New Roman" w:hAnsi="Times New Roman"/>
          <w:sz w:val="24"/>
          <w:szCs w:val="24"/>
          <w:u w:val="single"/>
        </w:rPr>
      </w:pP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u w:val="single"/>
        </w:rPr>
        <w:t>2017 Estimated AD&amp;D Insurance Premium Cost</w:t>
      </w: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457B10">
        <w:rPr>
          <w:rFonts w:ascii="Times New Roman" w:hAnsi="Times New Roman"/>
          <w:sz w:val="24"/>
          <w:szCs w:val="24"/>
        </w:rPr>
        <w:t xml:space="preserve">  </w:t>
      </w:r>
      <w:r>
        <w:rPr>
          <w:rFonts w:ascii="Times New Roman" w:hAnsi="Times New Roman"/>
          <w:sz w:val="24"/>
          <w:szCs w:val="24"/>
        </w:rPr>
        <w:t>.02</w:t>
      </w:r>
      <w:r>
        <w:rPr>
          <w:rFonts w:ascii="Times New Roman" w:hAnsi="Times New Roman"/>
          <w:sz w:val="24"/>
          <w:szCs w:val="24"/>
        </w:rPr>
        <w:tab/>
        <w:t>per $1,000 of coverage</w:t>
      </w: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      198.60</w:t>
      </w:r>
      <w:r>
        <w:rPr>
          <w:rFonts w:ascii="Times New Roman" w:hAnsi="Times New Roman"/>
          <w:sz w:val="24"/>
          <w:szCs w:val="24"/>
        </w:rPr>
        <w:tab/>
        <w:t>Monthly Employer Cost based on $9,930,000 volume</w:t>
      </w: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   2,383.20</w:t>
      </w:r>
      <w:r>
        <w:rPr>
          <w:rFonts w:ascii="Times New Roman" w:hAnsi="Times New Roman"/>
          <w:sz w:val="24"/>
          <w:szCs w:val="24"/>
        </w:rPr>
        <w:tab/>
        <w:t>Annual Employer Cost</w:t>
      </w:r>
    </w:p>
    <w:p w:rsidR="00436E6C" w:rsidRDefault="00436E6C" w:rsidP="00436E6C">
      <w:pPr>
        <w:pStyle w:val="BodyText"/>
        <w:spacing w:after="0" w:line="240" w:lineRule="auto"/>
        <w:ind w:firstLine="0"/>
        <w:rPr>
          <w:rFonts w:ascii="Times New Roman" w:hAnsi="Times New Roman"/>
          <w:sz w:val="24"/>
          <w:szCs w:val="24"/>
        </w:rPr>
      </w:pP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u w:val="single"/>
        </w:rPr>
        <w:t>2017 Estimated Long Term Disability Insurance Premium Cost</w:t>
      </w: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.225</w:t>
      </w:r>
      <w:r>
        <w:rPr>
          <w:rFonts w:ascii="Times New Roman" w:hAnsi="Times New Roman"/>
          <w:sz w:val="24"/>
          <w:szCs w:val="24"/>
        </w:rPr>
        <w:tab/>
        <w:t>per $100 of coverage</w:t>
      </w:r>
    </w:p>
    <w:p w:rsidR="00436E6C"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   1,723.84</w:t>
      </w:r>
      <w:r>
        <w:rPr>
          <w:rFonts w:ascii="Times New Roman" w:hAnsi="Times New Roman"/>
          <w:sz w:val="24"/>
          <w:szCs w:val="24"/>
        </w:rPr>
        <w:tab/>
        <w:t>Monthly Employer Cost based on $766,152 volume</w:t>
      </w:r>
    </w:p>
    <w:p w:rsidR="00436E6C" w:rsidRPr="00E835BB" w:rsidRDefault="00436E6C" w:rsidP="00436E6C">
      <w:pPr>
        <w:pStyle w:val="BodyText"/>
        <w:spacing w:after="0" w:line="240" w:lineRule="auto"/>
        <w:ind w:firstLine="0"/>
        <w:rPr>
          <w:rFonts w:ascii="Times New Roman" w:hAnsi="Times New Roman"/>
          <w:sz w:val="24"/>
          <w:szCs w:val="24"/>
        </w:rPr>
      </w:pPr>
      <w:r>
        <w:rPr>
          <w:rFonts w:ascii="Times New Roman" w:hAnsi="Times New Roman"/>
          <w:sz w:val="24"/>
          <w:szCs w:val="24"/>
        </w:rPr>
        <w:t>$ 20,686.08</w:t>
      </w:r>
      <w:r>
        <w:rPr>
          <w:rFonts w:ascii="Times New Roman" w:hAnsi="Times New Roman"/>
          <w:sz w:val="24"/>
          <w:szCs w:val="24"/>
        </w:rPr>
        <w:tab/>
        <w:t>Annual Employer Cost</w:t>
      </w:r>
    </w:p>
    <w:p w:rsidR="00106512" w:rsidRDefault="00106512" w:rsidP="00106512">
      <w:pPr>
        <w:pStyle w:val="BodyText"/>
        <w:spacing w:after="0" w:line="240" w:lineRule="auto"/>
        <w:ind w:firstLine="0"/>
        <w:rPr>
          <w:rFonts w:ascii="Times New Roman" w:hAnsi="Times New Roman"/>
          <w:sz w:val="24"/>
          <w:szCs w:val="24"/>
        </w:rPr>
      </w:pPr>
    </w:p>
    <w:p w:rsidR="00D27D7A" w:rsidRDefault="00D27D7A" w:rsidP="00D27D7A">
      <w:pPr>
        <w:pStyle w:val="BodyText"/>
        <w:spacing w:after="0" w:line="240" w:lineRule="auto"/>
        <w:ind w:firstLine="0"/>
        <w:rPr>
          <w:rFonts w:ascii="Times New Roman" w:hAnsi="Times New Roman"/>
          <w:sz w:val="24"/>
          <w:szCs w:val="24"/>
        </w:rPr>
      </w:pPr>
      <w:r>
        <w:rPr>
          <w:rFonts w:ascii="Times New Roman" w:hAnsi="Times New Roman"/>
          <w:sz w:val="24"/>
          <w:szCs w:val="24"/>
        </w:rPr>
        <w:t xml:space="preserve">The final recommendation from J.W. Terrill is to accept the renewal from Anthem and continue under the rate guarantee contracts with Delta Dental, VSP, and Anthem Life.  Staff members with the College are happy with the vendors, administration is painless, and moving to another carrier at this time is not warranted financially nor on a service level.  </w:t>
      </w:r>
      <w:r w:rsidRPr="00DF251F">
        <w:rPr>
          <w:rFonts w:ascii="Times New Roman" w:hAnsi="Times New Roman"/>
          <w:sz w:val="24"/>
          <w:szCs w:val="24"/>
        </w:rPr>
        <w:t xml:space="preserve">This memorandum serves as a recommendation </w:t>
      </w:r>
      <w:r>
        <w:rPr>
          <w:rFonts w:ascii="Times New Roman" w:hAnsi="Times New Roman"/>
          <w:sz w:val="24"/>
          <w:szCs w:val="24"/>
        </w:rPr>
        <w:t xml:space="preserve">by the Insurance Committee </w:t>
      </w:r>
      <w:r w:rsidRPr="00DF251F">
        <w:rPr>
          <w:rFonts w:ascii="Times New Roman" w:hAnsi="Times New Roman"/>
          <w:sz w:val="24"/>
          <w:szCs w:val="24"/>
        </w:rPr>
        <w:t xml:space="preserve">for the Board of Trustees to approve </w:t>
      </w:r>
      <w:r>
        <w:rPr>
          <w:rFonts w:ascii="Times New Roman" w:hAnsi="Times New Roman"/>
          <w:sz w:val="24"/>
          <w:szCs w:val="24"/>
        </w:rPr>
        <w:t>employee insurance premium and providers for 2017.</w:t>
      </w:r>
    </w:p>
    <w:p w:rsidR="00106512" w:rsidRDefault="00106512" w:rsidP="00106512">
      <w:pPr>
        <w:pStyle w:val="BodyText"/>
        <w:spacing w:after="0" w:line="240" w:lineRule="auto"/>
        <w:ind w:firstLine="0"/>
        <w:rPr>
          <w:rFonts w:ascii="Times New Roman" w:hAnsi="Times New Roman"/>
          <w:sz w:val="24"/>
          <w:szCs w:val="24"/>
        </w:rPr>
      </w:pPr>
    </w:p>
    <w:p w:rsidR="00106512" w:rsidRDefault="00106512" w:rsidP="0040101B">
      <w:pPr>
        <w:pStyle w:val="BodyText"/>
        <w:spacing w:before="240"/>
        <w:ind w:firstLine="0"/>
      </w:pPr>
      <w:r w:rsidRPr="00757A24">
        <w:rPr>
          <w:rFonts w:ascii="Times New Roman" w:hAnsi="Times New Roman"/>
          <w:sz w:val="24"/>
          <w:szCs w:val="24"/>
        </w:rPr>
        <w:t>Please let me know if you need any additional information.</w:t>
      </w:r>
    </w:p>
    <w:sectPr w:rsidR="00106512" w:rsidSect="00FE101B">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70" w:rsidRDefault="00820E70" w:rsidP="00106512">
      <w:r>
        <w:separator/>
      </w:r>
    </w:p>
  </w:endnote>
  <w:endnote w:type="continuationSeparator" w:id="0">
    <w:p w:rsidR="00820E70" w:rsidRDefault="00820E70" w:rsidP="0010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70" w:rsidRDefault="00820E70" w:rsidP="00106512">
      <w:r>
        <w:separator/>
      </w:r>
    </w:p>
  </w:footnote>
  <w:footnote w:type="continuationSeparator" w:id="0">
    <w:p w:rsidR="00820E70" w:rsidRDefault="00820E70" w:rsidP="00106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721FB"/>
    <w:multiLevelType w:val="hybridMultilevel"/>
    <w:tmpl w:val="B45477DA"/>
    <w:lvl w:ilvl="0" w:tplc="04090005">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154A4"/>
    <w:multiLevelType w:val="hybridMultilevel"/>
    <w:tmpl w:val="DA16F7E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D1237"/>
    <w:multiLevelType w:val="hybridMultilevel"/>
    <w:tmpl w:val="E8268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12"/>
    <w:rsid w:val="00005C82"/>
    <w:rsid w:val="000B1AF8"/>
    <w:rsid w:val="00106512"/>
    <w:rsid w:val="00113582"/>
    <w:rsid w:val="00284648"/>
    <w:rsid w:val="00341D43"/>
    <w:rsid w:val="0040101B"/>
    <w:rsid w:val="00436E6C"/>
    <w:rsid w:val="00457B10"/>
    <w:rsid w:val="00487A73"/>
    <w:rsid w:val="00490B16"/>
    <w:rsid w:val="00494BA3"/>
    <w:rsid w:val="005F48A6"/>
    <w:rsid w:val="00641ACE"/>
    <w:rsid w:val="006C3B66"/>
    <w:rsid w:val="00777E4D"/>
    <w:rsid w:val="007D6E91"/>
    <w:rsid w:val="00820E70"/>
    <w:rsid w:val="008A299E"/>
    <w:rsid w:val="0095186C"/>
    <w:rsid w:val="009A60C3"/>
    <w:rsid w:val="00AC6643"/>
    <w:rsid w:val="00B01BDC"/>
    <w:rsid w:val="00B40EE5"/>
    <w:rsid w:val="00BA0D8E"/>
    <w:rsid w:val="00BC2CA1"/>
    <w:rsid w:val="00C83452"/>
    <w:rsid w:val="00C940EA"/>
    <w:rsid w:val="00CE6665"/>
    <w:rsid w:val="00D27D7A"/>
    <w:rsid w:val="00EA1786"/>
    <w:rsid w:val="00FE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DEE9-4095-457D-92E2-CCDB133B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12"/>
    <w:pPr>
      <w:spacing w:after="0" w:line="240" w:lineRule="auto"/>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6512"/>
    <w:pPr>
      <w:spacing w:after="240" w:line="240" w:lineRule="atLeast"/>
      <w:ind w:firstLine="360"/>
      <w:jc w:val="both"/>
    </w:pPr>
  </w:style>
  <w:style w:type="character" w:customStyle="1" w:styleId="BodyTextChar">
    <w:name w:val="Body Text Char"/>
    <w:basedOn w:val="DefaultParagraphFont"/>
    <w:link w:val="BodyText"/>
    <w:semiHidden/>
    <w:rsid w:val="00106512"/>
    <w:rPr>
      <w:rFonts w:ascii="Garamond" w:eastAsia="Times New Roman" w:hAnsi="Garamond" w:cs="Times New Roman"/>
      <w:szCs w:val="20"/>
    </w:rPr>
  </w:style>
  <w:style w:type="paragraph" w:styleId="Header">
    <w:name w:val="header"/>
    <w:basedOn w:val="Normal"/>
    <w:link w:val="HeaderChar"/>
    <w:uiPriority w:val="99"/>
    <w:unhideWhenUsed/>
    <w:rsid w:val="00106512"/>
    <w:pPr>
      <w:tabs>
        <w:tab w:val="center" w:pos="4680"/>
        <w:tab w:val="right" w:pos="9360"/>
      </w:tabs>
    </w:pPr>
  </w:style>
  <w:style w:type="character" w:customStyle="1" w:styleId="HeaderChar">
    <w:name w:val="Header Char"/>
    <w:basedOn w:val="DefaultParagraphFont"/>
    <w:link w:val="Header"/>
    <w:uiPriority w:val="99"/>
    <w:rsid w:val="00106512"/>
    <w:rPr>
      <w:rFonts w:ascii="Garamond" w:eastAsia="Times New Roman" w:hAnsi="Garamond" w:cs="Times New Roman"/>
      <w:szCs w:val="20"/>
    </w:rPr>
  </w:style>
  <w:style w:type="paragraph" w:styleId="Footer">
    <w:name w:val="footer"/>
    <w:basedOn w:val="Normal"/>
    <w:link w:val="FooterChar"/>
    <w:uiPriority w:val="99"/>
    <w:unhideWhenUsed/>
    <w:rsid w:val="00106512"/>
    <w:pPr>
      <w:tabs>
        <w:tab w:val="center" w:pos="4680"/>
        <w:tab w:val="right" w:pos="9360"/>
      </w:tabs>
    </w:pPr>
  </w:style>
  <w:style w:type="character" w:customStyle="1" w:styleId="FooterChar">
    <w:name w:val="Footer Char"/>
    <w:basedOn w:val="DefaultParagraphFont"/>
    <w:link w:val="Footer"/>
    <w:uiPriority w:val="99"/>
    <w:rsid w:val="00106512"/>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6C3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B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50443">
      <w:bodyDiv w:val="1"/>
      <w:marLeft w:val="0"/>
      <w:marRight w:val="0"/>
      <w:marTop w:val="0"/>
      <w:marBottom w:val="0"/>
      <w:divBdr>
        <w:top w:val="none" w:sz="0" w:space="0" w:color="auto"/>
        <w:left w:val="none" w:sz="0" w:space="0" w:color="auto"/>
        <w:bottom w:val="none" w:sz="0" w:space="0" w:color="auto"/>
        <w:right w:val="none" w:sz="0" w:space="0" w:color="auto"/>
      </w:divBdr>
    </w:div>
    <w:div w:id="1555892141">
      <w:bodyDiv w:val="1"/>
      <w:marLeft w:val="0"/>
      <w:marRight w:val="0"/>
      <w:marTop w:val="0"/>
      <w:marBottom w:val="0"/>
      <w:divBdr>
        <w:top w:val="none" w:sz="0" w:space="0" w:color="auto"/>
        <w:left w:val="none" w:sz="0" w:space="0" w:color="auto"/>
        <w:bottom w:val="none" w:sz="0" w:space="0" w:color="auto"/>
        <w:right w:val="none" w:sz="0" w:space="0" w:color="auto"/>
      </w:divBdr>
    </w:div>
    <w:div w:id="1752265452">
      <w:bodyDiv w:val="1"/>
      <w:marLeft w:val="0"/>
      <w:marRight w:val="0"/>
      <w:marTop w:val="0"/>
      <w:marBottom w:val="0"/>
      <w:divBdr>
        <w:top w:val="none" w:sz="0" w:space="0" w:color="auto"/>
        <w:left w:val="none" w:sz="0" w:space="0" w:color="auto"/>
        <w:bottom w:val="none" w:sz="0" w:space="0" w:color="auto"/>
        <w:right w:val="none" w:sz="0" w:space="0" w:color="auto"/>
      </w:divBdr>
    </w:div>
    <w:div w:id="19903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Hartmann</dc:creator>
  <cp:keywords/>
  <dc:description/>
  <cp:lastModifiedBy>Karen Rinne</cp:lastModifiedBy>
  <cp:revision>2</cp:revision>
  <cp:lastPrinted>2016-09-27T15:53:00Z</cp:lastPrinted>
  <dcterms:created xsi:type="dcterms:W3CDTF">2016-09-28T14:52:00Z</dcterms:created>
  <dcterms:modified xsi:type="dcterms:W3CDTF">2016-09-28T14:52:00Z</dcterms:modified>
</cp:coreProperties>
</file>