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746" w:rsidRDefault="005D0F02">
      <w:pPr>
        <w:spacing w:after="0" w:line="259" w:lineRule="auto"/>
        <w:ind w:left="1076" w:right="0" w:firstLine="0"/>
      </w:pPr>
      <w:r>
        <w:rPr>
          <w:b/>
          <w:color w:val="C00000"/>
        </w:rPr>
        <w:t xml:space="preserve"> </w:t>
      </w:r>
      <w:r>
        <w:rPr>
          <w:b/>
          <w:color w:val="C00000"/>
        </w:rPr>
        <w:tab/>
        <w:t xml:space="preserve"> </w:t>
      </w:r>
    </w:p>
    <w:p w:rsidR="00E75746" w:rsidRDefault="005D0F02">
      <w:pPr>
        <w:spacing w:after="425" w:line="259" w:lineRule="auto"/>
        <w:ind w:left="647" w:right="0" w:firstLine="0"/>
      </w:pPr>
      <w:r>
        <w:rPr>
          <w:noProof/>
        </w:rPr>
        <w:drawing>
          <wp:inline distT="0" distB="0" distL="0" distR="0">
            <wp:extent cx="2206371" cy="347980"/>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7"/>
                    <a:stretch>
                      <a:fillRect/>
                    </a:stretch>
                  </pic:blipFill>
                  <pic:spPr>
                    <a:xfrm>
                      <a:off x="0" y="0"/>
                      <a:ext cx="2206371" cy="347980"/>
                    </a:xfrm>
                    <a:prstGeom prst="rect">
                      <a:avLst/>
                    </a:prstGeom>
                  </pic:spPr>
                </pic:pic>
              </a:graphicData>
            </a:graphic>
          </wp:inline>
        </w:drawing>
      </w:r>
    </w:p>
    <w:p w:rsidR="00E75746" w:rsidRDefault="005D0F02">
      <w:pPr>
        <w:spacing w:after="45" w:line="259" w:lineRule="auto"/>
        <w:ind w:left="723" w:right="0" w:firstLine="0"/>
      </w:pPr>
      <w:r>
        <w:rPr>
          <w:noProof/>
          <w:sz w:val="22"/>
        </w:rPr>
        <w:lastRenderedPageBreak/>
        <mc:AlternateContent>
          <mc:Choice Requires="wpg">
            <w:drawing>
              <wp:inline distT="0" distB="0" distL="0" distR="0">
                <wp:extent cx="3714826" cy="6351969"/>
                <wp:effectExtent l="0" t="0" r="0" b="0"/>
                <wp:docPr id="14733" name="Group 14733"/>
                <wp:cNvGraphicFramePr/>
                <a:graphic xmlns:a="http://schemas.openxmlformats.org/drawingml/2006/main">
                  <a:graphicData uri="http://schemas.microsoft.com/office/word/2010/wordprocessingGroup">
                    <wpg:wgp>
                      <wpg:cNvGrpSpPr/>
                      <wpg:grpSpPr>
                        <a:xfrm>
                          <a:off x="0" y="0"/>
                          <a:ext cx="3714826" cy="6351969"/>
                          <a:chOff x="0" y="0"/>
                          <a:chExt cx="3714826" cy="6351969"/>
                        </a:xfrm>
                      </wpg:grpSpPr>
                      <wps:wsp>
                        <wps:cNvPr id="9" name="Rectangle 9"/>
                        <wps:cNvSpPr/>
                        <wps:spPr>
                          <a:xfrm>
                            <a:off x="3067050" y="3785807"/>
                            <a:ext cx="41991" cy="189248"/>
                          </a:xfrm>
                          <a:prstGeom prst="rect">
                            <a:avLst/>
                          </a:prstGeom>
                          <a:ln>
                            <a:noFill/>
                          </a:ln>
                        </wps:spPr>
                        <wps:txbx>
                          <w:txbxContent>
                            <w:p w:rsidR="00E75746" w:rsidRDefault="005D0F02">
                              <w:pPr>
                                <w:spacing w:after="160" w:line="259" w:lineRule="auto"/>
                                <w:ind w:left="0" w:right="0" w:firstLine="0"/>
                              </w:pPr>
                              <w:r>
                                <w:rPr>
                                  <w:sz w:val="22"/>
                                </w:rPr>
                                <w:t xml:space="preserve"> </w:t>
                              </w:r>
                            </w:p>
                          </w:txbxContent>
                        </wps:txbx>
                        <wps:bodyPr horzOverflow="overflow" vert="horz" lIns="0" tIns="0" rIns="0" bIns="0" rtlCol="0">
                          <a:noAutofit/>
                        </wps:bodyPr>
                      </wps:wsp>
                      <wps:wsp>
                        <wps:cNvPr id="10" name="Rectangle 10"/>
                        <wps:cNvSpPr/>
                        <wps:spPr>
                          <a:xfrm>
                            <a:off x="1259840" y="3982546"/>
                            <a:ext cx="1599742" cy="619789"/>
                          </a:xfrm>
                          <a:prstGeom prst="rect">
                            <a:avLst/>
                          </a:prstGeom>
                          <a:ln>
                            <a:noFill/>
                          </a:ln>
                        </wps:spPr>
                        <wps:txbx>
                          <w:txbxContent>
                            <w:p w:rsidR="00E75746" w:rsidRDefault="005D0F02">
                              <w:pPr>
                                <w:spacing w:after="160" w:line="259" w:lineRule="auto"/>
                                <w:ind w:left="0" w:right="0" w:firstLine="0"/>
                              </w:pPr>
                              <w:r>
                                <w:rPr>
                                  <w:color w:val="191919"/>
                                  <w:sz w:val="72"/>
                                </w:rPr>
                                <w:t>COVID</w:t>
                              </w:r>
                            </w:p>
                          </w:txbxContent>
                        </wps:txbx>
                        <wps:bodyPr horzOverflow="overflow" vert="horz" lIns="0" tIns="0" rIns="0" bIns="0" rtlCol="0">
                          <a:noAutofit/>
                        </wps:bodyPr>
                      </wps:wsp>
                      <wps:wsp>
                        <wps:cNvPr id="11" name="Rectangle 11"/>
                        <wps:cNvSpPr/>
                        <wps:spPr>
                          <a:xfrm>
                            <a:off x="2463546" y="3982546"/>
                            <a:ext cx="186200" cy="619789"/>
                          </a:xfrm>
                          <a:prstGeom prst="rect">
                            <a:avLst/>
                          </a:prstGeom>
                          <a:ln>
                            <a:noFill/>
                          </a:ln>
                        </wps:spPr>
                        <wps:txbx>
                          <w:txbxContent>
                            <w:p w:rsidR="00E75746" w:rsidRDefault="005D0F02">
                              <w:pPr>
                                <w:spacing w:after="160" w:line="259" w:lineRule="auto"/>
                                <w:ind w:left="0" w:right="0" w:firstLine="0"/>
                              </w:pPr>
                              <w:r>
                                <w:rPr>
                                  <w:color w:val="191919"/>
                                  <w:sz w:val="72"/>
                                </w:rPr>
                                <w:t>-</w:t>
                              </w:r>
                            </w:p>
                          </w:txbxContent>
                        </wps:txbx>
                        <wps:bodyPr horzOverflow="overflow" vert="horz" lIns="0" tIns="0" rIns="0" bIns="0" rtlCol="0">
                          <a:noAutofit/>
                        </wps:bodyPr>
                      </wps:wsp>
                      <wps:wsp>
                        <wps:cNvPr id="14613" name="Rectangle 14613"/>
                        <wps:cNvSpPr/>
                        <wps:spPr>
                          <a:xfrm>
                            <a:off x="2603246" y="3982546"/>
                            <a:ext cx="616769" cy="619789"/>
                          </a:xfrm>
                          <a:prstGeom prst="rect">
                            <a:avLst/>
                          </a:prstGeom>
                          <a:ln>
                            <a:noFill/>
                          </a:ln>
                        </wps:spPr>
                        <wps:txbx>
                          <w:txbxContent>
                            <w:p w:rsidR="00E75746" w:rsidRDefault="005D0F02">
                              <w:pPr>
                                <w:spacing w:after="160" w:line="259" w:lineRule="auto"/>
                                <w:ind w:left="0" w:right="0" w:firstLine="0"/>
                              </w:pPr>
                              <w:r>
                                <w:rPr>
                                  <w:color w:val="191919"/>
                                  <w:sz w:val="72"/>
                                </w:rPr>
                                <w:t>19</w:t>
                              </w:r>
                            </w:p>
                          </w:txbxContent>
                        </wps:txbx>
                        <wps:bodyPr horzOverflow="overflow" vert="horz" lIns="0" tIns="0" rIns="0" bIns="0" rtlCol="0">
                          <a:noAutofit/>
                        </wps:bodyPr>
                      </wps:wsp>
                      <wps:wsp>
                        <wps:cNvPr id="14614" name="Rectangle 14614"/>
                        <wps:cNvSpPr/>
                        <wps:spPr>
                          <a:xfrm>
                            <a:off x="3066796" y="3982546"/>
                            <a:ext cx="137520" cy="619789"/>
                          </a:xfrm>
                          <a:prstGeom prst="rect">
                            <a:avLst/>
                          </a:prstGeom>
                          <a:ln>
                            <a:noFill/>
                          </a:ln>
                        </wps:spPr>
                        <wps:txbx>
                          <w:txbxContent>
                            <w:p w:rsidR="00E75746" w:rsidRDefault="005D0F02">
                              <w:pPr>
                                <w:spacing w:after="160" w:line="259" w:lineRule="auto"/>
                                <w:ind w:left="0" w:right="0" w:firstLine="0"/>
                              </w:pPr>
                              <w:r>
                                <w:rPr>
                                  <w:color w:val="191919"/>
                                  <w:sz w:val="72"/>
                                </w:rPr>
                                <w:t xml:space="preserve"> </w:t>
                              </w:r>
                            </w:p>
                          </w:txbxContent>
                        </wps:txbx>
                        <wps:bodyPr horzOverflow="overflow" vert="horz" lIns="0" tIns="0" rIns="0" bIns="0" rtlCol="0">
                          <a:noAutofit/>
                        </wps:bodyPr>
                      </wps:wsp>
                      <wps:wsp>
                        <wps:cNvPr id="13" name="Rectangle 13"/>
                        <wps:cNvSpPr/>
                        <wps:spPr>
                          <a:xfrm>
                            <a:off x="62230" y="4709875"/>
                            <a:ext cx="2531961" cy="619789"/>
                          </a:xfrm>
                          <a:prstGeom prst="rect">
                            <a:avLst/>
                          </a:prstGeom>
                          <a:ln>
                            <a:noFill/>
                          </a:ln>
                        </wps:spPr>
                        <wps:txbx>
                          <w:txbxContent>
                            <w:p w:rsidR="00E75746" w:rsidRDefault="005D0F02">
                              <w:pPr>
                                <w:spacing w:after="160" w:line="259" w:lineRule="auto"/>
                                <w:ind w:left="0" w:right="0" w:firstLine="0"/>
                              </w:pPr>
                              <w:r>
                                <w:rPr>
                                  <w:color w:val="191919"/>
                                  <w:sz w:val="72"/>
                                </w:rPr>
                                <w:t>EXTERNAL</w:t>
                              </w:r>
                            </w:p>
                          </w:txbxContent>
                        </wps:txbx>
                        <wps:bodyPr horzOverflow="overflow" vert="horz" lIns="0" tIns="0" rIns="0" bIns="0" rtlCol="0">
                          <a:noAutofit/>
                        </wps:bodyPr>
                      </wps:wsp>
                      <wps:wsp>
                        <wps:cNvPr id="14" name="Rectangle 14"/>
                        <wps:cNvSpPr/>
                        <wps:spPr>
                          <a:xfrm>
                            <a:off x="1968119" y="4709875"/>
                            <a:ext cx="137521" cy="619789"/>
                          </a:xfrm>
                          <a:prstGeom prst="rect">
                            <a:avLst/>
                          </a:prstGeom>
                          <a:ln>
                            <a:noFill/>
                          </a:ln>
                        </wps:spPr>
                        <wps:txbx>
                          <w:txbxContent>
                            <w:p w:rsidR="00E75746" w:rsidRDefault="005D0F02">
                              <w:pPr>
                                <w:spacing w:after="160" w:line="259" w:lineRule="auto"/>
                                <w:ind w:left="0" w:right="0" w:firstLine="0"/>
                              </w:pPr>
                              <w:r>
                                <w:rPr>
                                  <w:color w:val="191919"/>
                                  <w:sz w:val="72"/>
                                </w:rPr>
                                <w:t xml:space="preserve"> </w:t>
                              </w:r>
                            </w:p>
                          </w:txbxContent>
                        </wps:txbx>
                        <wps:bodyPr horzOverflow="overflow" vert="horz" lIns="0" tIns="0" rIns="0" bIns="0" rtlCol="0">
                          <a:noAutofit/>
                        </wps:bodyPr>
                      </wps:wsp>
                      <wps:wsp>
                        <wps:cNvPr id="15" name="Rectangle 15"/>
                        <wps:cNvSpPr/>
                        <wps:spPr>
                          <a:xfrm>
                            <a:off x="2073021" y="4709875"/>
                            <a:ext cx="1318007" cy="619789"/>
                          </a:xfrm>
                          <a:prstGeom prst="rect">
                            <a:avLst/>
                          </a:prstGeom>
                          <a:ln>
                            <a:noFill/>
                          </a:ln>
                        </wps:spPr>
                        <wps:txbx>
                          <w:txbxContent>
                            <w:p w:rsidR="00E75746" w:rsidRDefault="005D0F02">
                              <w:pPr>
                                <w:spacing w:after="160" w:line="259" w:lineRule="auto"/>
                                <w:ind w:left="0" w:right="0" w:firstLine="0"/>
                              </w:pPr>
                              <w:r>
                                <w:rPr>
                                  <w:color w:val="191919"/>
                                  <w:sz w:val="72"/>
                                </w:rPr>
                                <w:t>FAQS</w:t>
                              </w:r>
                            </w:p>
                          </w:txbxContent>
                        </wps:txbx>
                        <wps:bodyPr horzOverflow="overflow" vert="horz" lIns="0" tIns="0" rIns="0" bIns="0" rtlCol="0">
                          <a:noAutofit/>
                        </wps:bodyPr>
                      </wps:wsp>
                      <wps:wsp>
                        <wps:cNvPr id="16" name="Rectangle 16"/>
                        <wps:cNvSpPr/>
                        <wps:spPr>
                          <a:xfrm>
                            <a:off x="3067050" y="4709875"/>
                            <a:ext cx="137521" cy="619789"/>
                          </a:xfrm>
                          <a:prstGeom prst="rect">
                            <a:avLst/>
                          </a:prstGeom>
                          <a:ln>
                            <a:noFill/>
                          </a:ln>
                        </wps:spPr>
                        <wps:txbx>
                          <w:txbxContent>
                            <w:p w:rsidR="00E75746" w:rsidRDefault="005D0F02">
                              <w:pPr>
                                <w:spacing w:after="160" w:line="259" w:lineRule="auto"/>
                                <w:ind w:left="0" w:right="0" w:firstLine="0"/>
                              </w:pPr>
                              <w:r>
                                <w:rPr>
                                  <w:color w:val="191919"/>
                                  <w:sz w:val="72"/>
                                </w:rPr>
                                <w:t xml:space="preserve"> </w:t>
                              </w:r>
                            </w:p>
                          </w:txbxContent>
                        </wps:txbx>
                        <wps:bodyPr horzOverflow="overflow" vert="horz" lIns="0" tIns="0" rIns="0" bIns="0" rtlCol="0">
                          <a:noAutofit/>
                        </wps:bodyPr>
                      </wps:wsp>
                      <wps:wsp>
                        <wps:cNvPr id="17" name="Rectangle 17"/>
                        <wps:cNvSpPr/>
                        <wps:spPr>
                          <a:xfrm>
                            <a:off x="3067050" y="5373688"/>
                            <a:ext cx="231610" cy="206453"/>
                          </a:xfrm>
                          <a:prstGeom prst="rect">
                            <a:avLst/>
                          </a:prstGeom>
                          <a:ln>
                            <a:noFill/>
                          </a:ln>
                        </wps:spPr>
                        <wps:txbx>
                          <w:txbxContent>
                            <w:p w:rsidR="00E75746" w:rsidRDefault="005D0F02">
                              <w:pPr>
                                <w:spacing w:after="160" w:line="259" w:lineRule="auto"/>
                                <w:ind w:left="0" w:right="0" w:firstLine="0"/>
                              </w:pPr>
                              <w:r>
                                <w:rPr>
                                  <w:sz w:val="24"/>
                                </w:rPr>
                                <w:t xml:space="preserve">     </w:t>
                              </w:r>
                            </w:p>
                          </w:txbxContent>
                        </wps:txbx>
                        <wps:bodyPr horzOverflow="overflow" vert="horz" lIns="0" tIns="0" rIns="0" bIns="0" rtlCol="0">
                          <a:noAutofit/>
                        </wps:bodyPr>
                      </wps:wsp>
                      <wps:wsp>
                        <wps:cNvPr id="18" name="Rectangle 18"/>
                        <wps:cNvSpPr/>
                        <wps:spPr>
                          <a:xfrm>
                            <a:off x="3238500" y="5373688"/>
                            <a:ext cx="45808" cy="206453"/>
                          </a:xfrm>
                          <a:prstGeom prst="rect">
                            <a:avLst/>
                          </a:prstGeom>
                          <a:ln>
                            <a:noFill/>
                          </a:ln>
                        </wps:spPr>
                        <wps:txbx>
                          <w:txbxContent>
                            <w:p w:rsidR="00E75746" w:rsidRDefault="005D0F02">
                              <w:pPr>
                                <w:spacing w:after="160" w:line="259" w:lineRule="auto"/>
                                <w:ind w:left="0" w:right="0" w:firstLine="0"/>
                              </w:pPr>
                              <w:r>
                                <w:rPr>
                                  <w:sz w:val="24"/>
                                </w:rPr>
                                <w:t xml:space="preserve"> </w:t>
                              </w:r>
                            </w:p>
                          </w:txbxContent>
                        </wps:txbx>
                        <wps:bodyPr horzOverflow="overflow" vert="horz" lIns="0" tIns="0" rIns="0" bIns="0" rtlCol="0">
                          <a:noAutofit/>
                        </wps:bodyPr>
                      </wps:wsp>
                      <wps:wsp>
                        <wps:cNvPr id="19" name="Rectangle 19"/>
                        <wps:cNvSpPr/>
                        <wps:spPr>
                          <a:xfrm>
                            <a:off x="3524504" y="3118803"/>
                            <a:ext cx="210901" cy="189248"/>
                          </a:xfrm>
                          <a:prstGeom prst="rect">
                            <a:avLst/>
                          </a:prstGeom>
                          <a:ln>
                            <a:noFill/>
                          </a:ln>
                        </wps:spPr>
                        <wps:txbx>
                          <w:txbxContent>
                            <w:p w:rsidR="00E75746" w:rsidRDefault="005D0F02">
                              <w:pPr>
                                <w:spacing w:after="160" w:line="259" w:lineRule="auto"/>
                                <w:ind w:left="0" w:right="0" w:firstLine="0"/>
                              </w:pPr>
                              <w:r>
                                <w:rPr>
                                  <w:sz w:val="22"/>
                                </w:rPr>
                                <w:t xml:space="preserve">     </w:t>
                              </w:r>
                            </w:p>
                          </w:txbxContent>
                        </wps:txbx>
                        <wps:bodyPr horzOverflow="overflow" vert="horz" lIns="0" tIns="0" rIns="0" bIns="0" rtlCol="0">
                          <a:noAutofit/>
                        </wps:bodyPr>
                      </wps:wsp>
                      <wps:wsp>
                        <wps:cNvPr id="20" name="Rectangle 20"/>
                        <wps:cNvSpPr/>
                        <wps:spPr>
                          <a:xfrm>
                            <a:off x="3683254" y="3118803"/>
                            <a:ext cx="41991" cy="189248"/>
                          </a:xfrm>
                          <a:prstGeom prst="rect">
                            <a:avLst/>
                          </a:prstGeom>
                          <a:ln>
                            <a:noFill/>
                          </a:ln>
                        </wps:spPr>
                        <wps:txbx>
                          <w:txbxContent>
                            <w:p w:rsidR="00E75746" w:rsidRDefault="005D0F02">
                              <w:pPr>
                                <w:spacing w:after="160" w:line="259" w:lineRule="auto"/>
                                <w:ind w:left="0" w:right="0" w:firstLine="0"/>
                              </w:pPr>
                              <w:r>
                                <w:rPr>
                                  <w:sz w:val="22"/>
                                </w:rPr>
                                <w:t xml:space="preserve"> </w:t>
                              </w:r>
                            </w:p>
                          </w:txbxContent>
                        </wps:txbx>
                        <wps:bodyPr horzOverflow="overflow" vert="horz" lIns="0" tIns="0" rIns="0" bIns="0" rtlCol="0">
                          <a:noAutofit/>
                        </wps:bodyPr>
                      </wps:wsp>
                      <wps:wsp>
                        <wps:cNvPr id="18140" name="Shape 18140"/>
                        <wps:cNvSpPr/>
                        <wps:spPr>
                          <a:xfrm>
                            <a:off x="3286125" y="0"/>
                            <a:ext cx="19050" cy="822643"/>
                          </a:xfrm>
                          <a:custGeom>
                            <a:avLst/>
                            <a:gdLst/>
                            <a:ahLst/>
                            <a:cxnLst/>
                            <a:rect l="0" t="0" r="0" b="0"/>
                            <a:pathLst>
                              <a:path w="19050" h="822643">
                                <a:moveTo>
                                  <a:pt x="0" y="0"/>
                                </a:moveTo>
                                <a:lnTo>
                                  <a:pt x="19050" y="0"/>
                                </a:lnTo>
                                <a:lnTo>
                                  <a:pt x="19050" y="822643"/>
                                </a:lnTo>
                                <a:lnTo>
                                  <a:pt x="0" y="822643"/>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8141" name="Shape 18141"/>
                        <wps:cNvSpPr/>
                        <wps:spPr>
                          <a:xfrm>
                            <a:off x="3286125" y="822643"/>
                            <a:ext cx="19050" cy="5529326"/>
                          </a:xfrm>
                          <a:custGeom>
                            <a:avLst/>
                            <a:gdLst/>
                            <a:ahLst/>
                            <a:cxnLst/>
                            <a:rect l="0" t="0" r="0" b="0"/>
                            <a:pathLst>
                              <a:path w="19050" h="5529326">
                                <a:moveTo>
                                  <a:pt x="0" y="0"/>
                                </a:moveTo>
                                <a:lnTo>
                                  <a:pt x="19050" y="0"/>
                                </a:lnTo>
                                <a:lnTo>
                                  <a:pt x="19050" y="5529326"/>
                                </a:lnTo>
                                <a:lnTo>
                                  <a:pt x="0" y="5529326"/>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pic:pic xmlns:pic="http://schemas.openxmlformats.org/drawingml/2006/picture">
                        <pic:nvPicPr>
                          <pic:cNvPr id="25" name="Picture 25"/>
                          <pic:cNvPicPr/>
                        </pic:nvPicPr>
                        <pic:blipFill>
                          <a:blip r:embed="rId8"/>
                          <a:stretch>
                            <a:fillRect/>
                          </a:stretch>
                        </pic:blipFill>
                        <pic:spPr>
                          <a:xfrm>
                            <a:off x="0" y="824294"/>
                            <a:ext cx="3064510" cy="3067050"/>
                          </a:xfrm>
                          <a:prstGeom prst="rect">
                            <a:avLst/>
                          </a:prstGeom>
                        </pic:spPr>
                      </pic:pic>
                    </wpg:wgp>
                  </a:graphicData>
                </a:graphic>
              </wp:inline>
            </w:drawing>
          </mc:Choice>
          <mc:Fallback xmlns:a="http://schemas.openxmlformats.org/drawingml/2006/main">
            <w:pict>
              <v:group id="Group 14733" style="width:292.506pt;height:500.155pt;mso-position-horizontal-relative:char;mso-position-vertical-relative:line" coordsize="37148,63519">
                <v:rect id="Rectangle 9" style="position:absolute;width:419;height:1892;left:30670;top:37858;" filled="f" stroked="f">
                  <v:textbox inset="0,0,0,0">
                    <w:txbxContent>
                      <w:p>
                        <w:pPr>
                          <w:spacing w:before="0" w:after="160" w:line="259" w:lineRule="auto"/>
                          <w:ind w:left="0" w:right="0" w:firstLine="0"/>
                        </w:pPr>
                        <w:r>
                          <w:rPr>
                            <w:sz w:val="22"/>
                          </w:rPr>
                          <w:t xml:space="preserve"> </w:t>
                        </w:r>
                      </w:p>
                    </w:txbxContent>
                  </v:textbox>
                </v:rect>
                <v:rect id="Rectangle 10" style="position:absolute;width:15997;height:6197;left:12598;top:39825;" filled="f" stroked="f">
                  <v:textbox inset="0,0,0,0">
                    <w:txbxContent>
                      <w:p>
                        <w:pPr>
                          <w:spacing w:before="0" w:after="160" w:line="259" w:lineRule="auto"/>
                          <w:ind w:left="0" w:right="0" w:firstLine="0"/>
                        </w:pPr>
                        <w:r>
                          <w:rPr>
                            <w:color w:val="191919"/>
                            <w:sz w:val="72"/>
                          </w:rPr>
                          <w:t xml:space="preserve">COVID</w:t>
                        </w:r>
                      </w:p>
                    </w:txbxContent>
                  </v:textbox>
                </v:rect>
                <v:rect id="Rectangle 11" style="position:absolute;width:1862;height:6197;left:24635;top:39825;" filled="f" stroked="f">
                  <v:textbox inset="0,0,0,0">
                    <w:txbxContent>
                      <w:p>
                        <w:pPr>
                          <w:spacing w:before="0" w:after="160" w:line="259" w:lineRule="auto"/>
                          <w:ind w:left="0" w:right="0" w:firstLine="0"/>
                        </w:pPr>
                        <w:r>
                          <w:rPr>
                            <w:color w:val="191919"/>
                            <w:sz w:val="72"/>
                          </w:rPr>
                          <w:t xml:space="preserve">-</w:t>
                        </w:r>
                      </w:p>
                    </w:txbxContent>
                  </v:textbox>
                </v:rect>
                <v:rect id="Rectangle 14613" style="position:absolute;width:6167;height:6197;left:26032;top:39825;" filled="f" stroked="f">
                  <v:textbox inset="0,0,0,0">
                    <w:txbxContent>
                      <w:p>
                        <w:pPr>
                          <w:spacing w:before="0" w:after="160" w:line="259" w:lineRule="auto"/>
                          <w:ind w:left="0" w:right="0" w:firstLine="0"/>
                        </w:pPr>
                        <w:r>
                          <w:rPr>
                            <w:color w:val="191919"/>
                            <w:sz w:val="72"/>
                          </w:rPr>
                          <w:t xml:space="preserve">19</w:t>
                        </w:r>
                      </w:p>
                    </w:txbxContent>
                  </v:textbox>
                </v:rect>
                <v:rect id="Rectangle 14614" style="position:absolute;width:1375;height:6197;left:30667;top:39825;" filled="f" stroked="f">
                  <v:textbox inset="0,0,0,0">
                    <w:txbxContent>
                      <w:p>
                        <w:pPr>
                          <w:spacing w:before="0" w:after="160" w:line="259" w:lineRule="auto"/>
                          <w:ind w:left="0" w:right="0" w:firstLine="0"/>
                        </w:pPr>
                        <w:r>
                          <w:rPr>
                            <w:color w:val="191919"/>
                            <w:sz w:val="72"/>
                          </w:rPr>
                          <w:t xml:space="preserve"> </w:t>
                        </w:r>
                      </w:p>
                    </w:txbxContent>
                  </v:textbox>
                </v:rect>
                <v:rect id="Rectangle 13" style="position:absolute;width:25319;height:6197;left:622;top:47098;" filled="f" stroked="f">
                  <v:textbox inset="0,0,0,0">
                    <w:txbxContent>
                      <w:p>
                        <w:pPr>
                          <w:spacing w:before="0" w:after="160" w:line="259" w:lineRule="auto"/>
                          <w:ind w:left="0" w:right="0" w:firstLine="0"/>
                        </w:pPr>
                        <w:r>
                          <w:rPr>
                            <w:color w:val="191919"/>
                            <w:sz w:val="72"/>
                          </w:rPr>
                          <w:t xml:space="preserve">EXTERNAL</w:t>
                        </w:r>
                      </w:p>
                    </w:txbxContent>
                  </v:textbox>
                </v:rect>
                <v:rect id="Rectangle 14" style="position:absolute;width:1375;height:6197;left:19681;top:47098;" filled="f" stroked="f">
                  <v:textbox inset="0,0,0,0">
                    <w:txbxContent>
                      <w:p>
                        <w:pPr>
                          <w:spacing w:before="0" w:after="160" w:line="259" w:lineRule="auto"/>
                          <w:ind w:left="0" w:right="0" w:firstLine="0"/>
                        </w:pPr>
                        <w:r>
                          <w:rPr>
                            <w:color w:val="191919"/>
                            <w:sz w:val="72"/>
                          </w:rPr>
                          <w:t xml:space="preserve"> </w:t>
                        </w:r>
                      </w:p>
                    </w:txbxContent>
                  </v:textbox>
                </v:rect>
                <v:rect id="Rectangle 15" style="position:absolute;width:13180;height:6197;left:20730;top:47098;" filled="f" stroked="f">
                  <v:textbox inset="0,0,0,0">
                    <w:txbxContent>
                      <w:p>
                        <w:pPr>
                          <w:spacing w:before="0" w:after="160" w:line="259" w:lineRule="auto"/>
                          <w:ind w:left="0" w:right="0" w:firstLine="0"/>
                        </w:pPr>
                        <w:r>
                          <w:rPr>
                            <w:color w:val="191919"/>
                            <w:sz w:val="72"/>
                          </w:rPr>
                          <w:t xml:space="preserve">FAQS</w:t>
                        </w:r>
                      </w:p>
                    </w:txbxContent>
                  </v:textbox>
                </v:rect>
                <v:rect id="Rectangle 16" style="position:absolute;width:1375;height:6197;left:30670;top:47098;" filled="f" stroked="f">
                  <v:textbox inset="0,0,0,0">
                    <w:txbxContent>
                      <w:p>
                        <w:pPr>
                          <w:spacing w:before="0" w:after="160" w:line="259" w:lineRule="auto"/>
                          <w:ind w:left="0" w:right="0" w:firstLine="0"/>
                        </w:pPr>
                        <w:r>
                          <w:rPr>
                            <w:color w:val="191919"/>
                            <w:sz w:val="72"/>
                          </w:rPr>
                          <w:t xml:space="preserve"> </w:t>
                        </w:r>
                      </w:p>
                    </w:txbxContent>
                  </v:textbox>
                </v:rect>
                <v:rect id="Rectangle 17" style="position:absolute;width:2316;height:2064;left:30670;top:53736;" filled="f" stroked="f">
                  <v:textbox inset="0,0,0,0">
                    <w:txbxContent>
                      <w:p>
                        <w:pPr>
                          <w:spacing w:before="0" w:after="160" w:line="259" w:lineRule="auto"/>
                          <w:ind w:left="0" w:right="0" w:firstLine="0"/>
                        </w:pPr>
                        <w:r>
                          <w:rPr>
                            <w:sz w:val="24"/>
                          </w:rPr>
                          <w:t xml:space="preserve">     </w:t>
                        </w:r>
                      </w:p>
                    </w:txbxContent>
                  </v:textbox>
                </v:rect>
                <v:rect id="Rectangle 18" style="position:absolute;width:458;height:2064;left:32385;top:53736;" filled="f" stroked="f">
                  <v:textbox inset="0,0,0,0">
                    <w:txbxContent>
                      <w:p>
                        <w:pPr>
                          <w:spacing w:before="0" w:after="160" w:line="259" w:lineRule="auto"/>
                          <w:ind w:left="0" w:right="0" w:firstLine="0"/>
                        </w:pPr>
                        <w:r>
                          <w:rPr>
                            <w:sz w:val="24"/>
                          </w:rPr>
                          <w:t xml:space="preserve"> </w:t>
                        </w:r>
                      </w:p>
                    </w:txbxContent>
                  </v:textbox>
                </v:rect>
                <v:rect id="Rectangle 19" style="position:absolute;width:2109;height:1892;left:35245;top:31188;" filled="f" stroked="f">
                  <v:textbox inset="0,0,0,0">
                    <w:txbxContent>
                      <w:p>
                        <w:pPr>
                          <w:spacing w:before="0" w:after="160" w:line="259" w:lineRule="auto"/>
                          <w:ind w:left="0" w:right="0" w:firstLine="0"/>
                        </w:pPr>
                        <w:r>
                          <w:rPr>
                            <w:sz w:val="22"/>
                          </w:rPr>
                          <w:t xml:space="preserve">     </w:t>
                        </w:r>
                      </w:p>
                    </w:txbxContent>
                  </v:textbox>
                </v:rect>
                <v:rect id="Rectangle 20" style="position:absolute;width:419;height:1892;left:36832;top:31188;" filled="f" stroked="f">
                  <v:textbox inset="0,0,0,0">
                    <w:txbxContent>
                      <w:p>
                        <w:pPr>
                          <w:spacing w:before="0" w:after="160" w:line="259" w:lineRule="auto"/>
                          <w:ind w:left="0" w:right="0" w:firstLine="0"/>
                        </w:pPr>
                        <w:r>
                          <w:rPr>
                            <w:sz w:val="22"/>
                          </w:rPr>
                          <w:t xml:space="preserve"> </w:t>
                        </w:r>
                      </w:p>
                    </w:txbxContent>
                  </v:textbox>
                </v:rect>
                <v:shape id="Shape 18142" style="position:absolute;width:190;height:8226;left:32861;top:0;" coordsize="19050,822643" path="m0,0l19050,0l19050,822643l0,822643l0,0">
                  <v:stroke weight="0pt" endcap="flat" joinstyle="miter" miterlimit="10" on="false" color="#000000" opacity="0"/>
                  <v:fill on="true" color="#ed7d31"/>
                </v:shape>
                <v:shape id="Shape 18143" style="position:absolute;width:190;height:55293;left:32861;top:8226;" coordsize="19050,5529326" path="m0,0l19050,0l19050,5529326l0,5529326l0,0">
                  <v:stroke weight="0pt" endcap="flat" joinstyle="miter" miterlimit="10" on="false" color="#000000" opacity="0"/>
                  <v:fill on="true" color="#ed7d31"/>
                </v:shape>
                <v:shape id="Picture 25" style="position:absolute;width:30645;height:30670;left:0;top:8242;" filled="f">
                  <v:imagedata r:id="rId9"/>
                </v:shape>
              </v:group>
            </w:pict>
          </mc:Fallback>
        </mc:AlternateContent>
      </w:r>
    </w:p>
    <w:p w:rsidR="00E75746" w:rsidRDefault="005D0F02">
      <w:pPr>
        <w:spacing w:after="0" w:line="259" w:lineRule="auto"/>
        <w:ind w:left="0" w:right="0" w:firstLine="0"/>
      </w:pPr>
      <w:bookmarkStart w:id="0" w:name="_GoBack"/>
      <w:bookmarkEnd w:id="0"/>
      <w:r>
        <w:rPr>
          <w:sz w:val="22"/>
        </w:rPr>
        <w:lastRenderedPageBreak/>
        <w:t xml:space="preserve"> </w:t>
      </w:r>
    </w:p>
    <w:p w:rsidR="00E75746" w:rsidRDefault="005D0F02">
      <w:pPr>
        <w:ind w:left="911" w:right="0"/>
      </w:pPr>
      <w:r>
        <w:rPr>
          <w:rFonts w:ascii="Arial" w:eastAsia="Arial" w:hAnsi="Arial" w:cs="Arial"/>
          <w:sz w:val="15"/>
        </w:rPr>
        <w:t>Anthem Blue Cross and Blue Shield is the trade name of: In Colorado: Rocky Mountain Hospital and Medical Service, Inc. HMO products underwritten by HMO Colorado, Inc. In Connecticut: Anthem Health Plans, Inc. In Georgia: Blue Cross Blue Shield Healthcare P</w:t>
      </w:r>
      <w:r>
        <w:rPr>
          <w:rFonts w:ascii="Arial" w:eastAsia="Arial" w:hAnsi="Arial" w:cs="Arial"/>
          <w:sz w:val="15"/>
        </w:rPr>
        <w:t xml:space="preserve">lan of Georgia, Inc. In Indiana: Anthem Insurance Companies, Inc. In Kentucky: Anthem Health Plans of Kentucky, Inc. In Maine: Anthem Health Plans of Maine, Inc. In Missouri </w:t>
      </w:r>
    </w:p>
    <w:p w:rsidR="00E75746" w:rsidRDefault="005D0F02">
      <w:pPr>
        <w:ind w:left="911" w:right="0"/>
      </w:pPr>
      <w:r>
        <w:rPr>
          <w:rFonts w:ascii="Arial" w:eastAsia="Arial" w:hAnsi="Arial" w:cs="Arial"/>
          <w:sz w:val="15"/>
        </w:rPr>
        <w:t>(</w:t>
      </w:r>
      <w:proofErr w:type="gramStart"/>
      <w:r>
        <w:rPr>
          <w:rFonts w:ascii="Arial" w:eastAsia="Arial" w:hAnsi="Arial" w:cs="Arial"/>
          <w:sz w:val="15"/>
        </w:rPr>
        <w:t>excluding</w:t>
      </w:r>
      <w:proofErr w:type="gramEnd"/>
      <w:r>
        <w:rPr>
          <w:rFonts w:ascii="Arial" w:eastAsia="Arial" w:hAnsi="Arial" w:cs="Arial"/>
          <w:sz w:val="15"/>
        </w:rPr>
        <w:t xml:space="preserve"> 30 counties in the Kansas City area): </w:t>
      </w:r>
      <w:proofErr w:type="spellStart"/>
      <w:r>
        <w:rPr>
          <w:rFonts w:ascii="Arial" w:eastAsia="Arial" w:hAnsi="Arial" w:cs="Arial"/>
          <w:sz w:val="15"/>
        </w:rPr>
        <w:t>RightCHOICE</w:t>
      </w:r>
      <w:proofErr w:type="spellEnd"/>
      <w:r>
        <w:rPr>
          <w:rFonts w:ascii="Arial" w:eastAsia="Arial" w:hAnsi="Arial" w:cs="Arial"/>
          <w:sz w:val="15"/>
        </w:rPr>
        <w:t xml:space="preserve">® Managed Care, Inc. </w:t>
      </w:r>
      <w:r>
        <w:rPr>
          <w:rFonts w:ascii="Arial" w:eastAsia="Arial" w:hAnsi="Arial" w:cs="Arial"/>
          <w:sz w:val="15"/>
        </w:rPr>
        <w:t xml:space="preserve">(RIT), Healthy Alliance® Life Insurance Company (HALIC), and </w:t>
      </w:r>
    </w:p>
    <w:p w:rsidR="00E75746" w:rsidRDefault="005D0F02">
      <w:pPr>
        <w:ind w:left="911" w:right="0"/>
      </w:pPr>
      <w:r>
        <w:rPr>
          <w:rFonts w:ascii="Arial" w:eastAsia="Arial" w:hAnsi="Arial" w:cs="Arial"/>
          <w:sz w:val="15"/>
        </w:rPr>
        <w:t xml:space="preserve">HMO Missouri, Inc. RIT and certain affiliates administer non-HMO benefits underwritten by HALIC and HMO benefits underwritten by HMO Missouri, </w:t>
      </w:r>
    </w:p>
    <w:p w:rsidR="00E75746" w:rsidRDefault="005D0F02">
      <w:pPr>
        <w:ind w:left="911" w:right="0"/>
      </w:pPr>
      <w:r>
        <w:rPr>
          <w:rFonts w:ascii="Arial" w:eastAsia="Arial" w:hAnsi="Arial" w:cs="Arial"/>
          <w:sz w:val="15"/>
        </w:rPr>
        <w:t>Inc. RIT and certain affiliates only provide admin</w:t>
      </w:r>
      <w:r>
        <w:rPr>
          <w:rFonts w:ascii="Arial" w:eastAsia="Arial" w:hAnsi="Arial" w:cs="Arial"/>
          <w:sz w:val="15"/>
        </w:rPr>
        <w:t xml:space="preserve">istrative services for self-funded plans and do not underwrite benefits. In Nevada: Rocky Mountain </w:t>
      </w:r>
    </w:p>
    <w:p w:rsidR="00E75746" w:rsidRDefault="005D0F02">
      <w:pPr>
        <w:ind w:left="911" w:right="0"/>
      </w:pPr>
      <w:r>
        <w:rPr>
          <w:rFonts w:ascii="Arial" w:eastAsia="Arial" w:hAnsi="Arial" w:cs="Arial"/>
          <w:sz w:val="15"/>
        </w:rPr>
        <w:t xml:space="preserve">Hospital and Medical Service, Inc. HMO products underwritten by HMO Colorado, Inc., dba HMO Nevada. In New Hampshire: Anthem Health Plans of </w:t>
      </w:r>
    </w:p>
    <w:p w:rsidR="00E75746" w:rsidRDefault="005D0F02">
      <w:pPr>
        <w:ind w:left="911" w:right="0"/>
      </w:pPr>
      <w:r>
        <w:rPr>
          <w:rFonts w:ascii="Arial" w:eastAsia="Arial" w:hAnsi="Arial" w:cs="Arial"/>
          <w:sz w:val="15"/>
        </w:rPr>
        <w:t>New Hampshire,</w:t>
      </w:r>
      <w:r>
        <w:rPr>
          <w:rFonts w:ascii="Arial" w:eastAsia="Arial" w:hAnsi="Arial" w:cs="Arial"/>
          <w:sz w:val="15"/>
        </w:rPr>
        <w:t xml:space="preserve"> Inc. HMO plans are administered by Anthem Health Plans of New Hampshire, Inc. and underwritten by Matthew Thornton Health </w:t>
      </w:r>
    </w:p>
    <w:p w:rsidR="00E75746" w:rsidRDefault="005D0F02">
      <w:pPr>
        <w:ind w:left="911" w:right="0"/>
      </w:pPr>
      <w:r>
        <w:rPr>
          <w:rFonts w:ascii="Arial" w:eastAsia="Arial" w:hAnsi="Arial" w:cs="Arial"/>
          <w:sz w:val="15"/>
        </w:rPr>
        <w:t xml:space="preserve">Plan, Inc. In Ohio: Community Insurance Company. In Virginia: Anthem Health Plans of Virginia, Inc. trades as Anthem Blue Cross and </w:t>
      </w:r>
      <w:r>
        <w:rPr>
          <w:rFonts w:ascii="Arial" w:eastAsia="Arial" w:hAnsi="Arial" w:cs="Arial"/>
          <w:sz w:val="15"/>
        </w:rPr>
        <w:t>Blue Shield in Virginia, and its service area is all of Virginia except for the City of Fairfax, the Town of Vienna, and the area east of State Route 123. In Wisconsin: Blue Cross Blue Shield of Wisconsin (BCBSWI), underwrites or administers PPO and indemn</w:t>
      </w:r>
      <w:r>
        <w:rPr>
          <w:rFonts w:ascii="Arial" w:eastAsia="Arial" w:hAnsi="Arial" w:cs="Arial"/>
          <w:sz w:val="15"/>
        </w:rPr>
        <w:t xml:space="preserve">ity policies and underwrites the out of network benefits in POS policies offered by </w:t>
      </w:r>
      <w:proofErr w:type="spellStart"/>
      <w:r>
        <w:rPr>
          <w:rFonts w:ascii="Arial" w:eastAsia="Arial" w:hAnsi="Arial" w:cs="Arial"/>
          <w:sz w:val="15"/>
        </w:rPr>
        <w:t>Compcare</w:t>
      </w:r>
      <w:proofErr w:type="spellEnd"/>
      <w:r>
        <w:rPr>
          <w:rFonts w:ascii="Arial" w:eastAsia="Arial" w:hAnsi="Arial" w:cs="Arial"/>
          <w:sz w:val="15"/>
        </w:rPr>
        <w:t xml:space="preserve"> Health Services Insurance Corporation (</w:t>
      </w:r>
      <w:proofErr w:type="spellStart"/>
      <w:r>
        <w:rPr>
          <w:rFonts w:ascii="Arial" w:eastAsia="Arial" w:hAnsi="Arial" w:cs="Arial"/>
          <w:sz w:val="15"/>
        </w:rPr>
        <w:t>Compcare</w:t>
      </w:r>
      <w:proofErr w:type="spellEnd"/>
      <w:r>
        <w:rPr>
          <w:rFonts w:ascii="Arial" w:eastAsia="Arial" w:hAnsi="Arial" w:cs="Arial"/>
          <w:sz w:val="15"/>
        </w:rPr>
        <w:t xml:space="preserve">) or Wisconsin Collaborative Insurance Corporation (WCIC). </w:t>
      </w:r>
      <w:proofErr w:type="spellStart"/>
      <w:r>
        <w:rPr>
          <w:rFonts w:ascii="Arial" w:eastAsia="Arial" w:hAnsi="Arial" w:cs="Arial"/>
          <w:sz w:val="15"/>
        </w:rPr>
        <w:t>Compcare</w:t>
      </w:r>
      <w:proofErr w:type="spellEnd"/>
      <w:r>
        <w:rPr>
          <w:rFonts w:ascii="Arial" w:eastAsia="Arial" w:hAnsi="Arial" w:cs="Arial"/>
          <w:sz w:val="15"/>
        </w:rPr>
        <w:t xml:space="preserve"> underwrites or administers HMO or POS policies; </w:t>
      </w:r>
      <w:r>
        <w:rPr>
          <w:rFonts w:ascii="Arial" w:eastAsia="Arial" w:hAnsi="Arial" w:cs="Arial"/>
          <w:sz w:val="15"/>
        </w:rPr>
        <w:t>WCIC underwrites or administers Well Priority HMO or POS policies. Independent licensees of the Blue Cross and Blue Shield Association. Anthem is a registered trademark of Anthem Insurance Companies, Inc.</w:t>
      </w:r>
      <w:r>
        <w:rPr>
          <w:rFonts w:ascii="Times New Roman" w:eastAsia="Times New Roman" w:hAnsi="Times New Roman" w:cs="Times New Roman"/>
          <w:sz w:val="15"/>
        </w:rPr>
        <w:t xml:space="preserve"> </w:t>
      </w:r>
    </w:p>
    <w:p w:rsidR="00E75746" w:rsidRDefault="005D0F02">
      <w:pPr>
        <w:spacing w:after="0" w:line="259" w:lineRule="auto"/>
        <w:ind w:left="916" w:right="0" w:firstLine="0"/>
      </w:pPr>
      <w:r>
        <w:rPr>
          <w:sz w:val="15"/>
        </w:rPr>
        <w:t xml:space="preserve"> </w:t>
      </w:r>
    </w:p>
    <w:p w:rsidR="00E75746" w:rsidRDefault="005D0F02">
      <w:pPr>
        <w:pStyle w:val="Heading1"/>
      </w:pPr>
      <w:r>
        <w:t xml:space="preserve">Table of Contents </w:t>
      </w:r>
    </w:p>
    <w:p w:rsidR="00E75746" w:rsidRDefault="005D0F02">
      <w:pPr>
        <w:tabs>
          <w:tab w:val="center" w:pos="1188"/>
          <w:tab w:val="center" w:pos="5929"/>
        </w:tabs>
        <w:spacing w:after="347" w:line="259" w:lineRule="auto"/>
        <w:ind w:left="0" w:right="0" w:firstLine="0"/>
      </w:pPr>
      <w:r>
        <w:rPr>
          <w:sz w:val="22"/>
        </w:rPr>
        <w:tab/>
      </w:r>
      <w:r>
        <w:rPr>
          <w:noProof/>
          <w:sz w:val="22"/>
        </w:rPr>
        <mc:AlternateContent>
          <mc:Choice Requires="wpg">
            <w:drawing>
              <wp:inline distT="0" distB="0" distL="0" distR="0">
                <wp:extent cx="82550" cy="130175"/>
                <wp:effectExtent l="0" t="0" r="0" b="0"/>
                <wp:docPr id="15207" name="Group 15207"/>
                <wp:cNvGraphicFramePr/>
                <a:graphic xmlns:a="http://schemas.openxmlformats.org/drawingml/2006/main">
                  <a:graphicData uri="http://schemas.microsoft.com/office/word/2010/wordprocessingGroup">
                    <wpg:wgp>
                      <wpg:cNvGrpSpPr/>
                      <wpg:grpSpPr>
                        <a:xfrm>
                          <a:off x="0" y="0"/>
                          <a:ext cx="82550" cy="130175"/>
                          <a:chOff x="0" y="0"/>
                          <a:chExt cx="82550" cy="130175"/>
                        </a:xfrm>
                      </wpg:grpSpPr>
                      <pic:pic xmlns:pic="http://schemas.openxmlformats.org/drawingml/2006/picture">
                        <pic:nvPicPr>
                          <pic:cNvPr id="94" name="Picture 94"/>
                          <pic:cNvPicPr/>
                        </pic:nvPicPr>
                        <pic:blipFill>
                          <a:blip r:embed="rId10"/>
                          <a:stretch>
                            <a:fillRect/>
                          </a:stretch>
                        </pic:blipFill>
                        <pic:spPr>
                          <a:xfrm>
                            <a:off x="9525" y="0"/>
                            <a:ext cx="69850" cy="101600"/>
                          </a:xfrm>
                          <a:prstGeom prst="rect">
                            <a:avLst/>
                          </a:prstGeom>
                        </pic:spPr>
                      </pic:pic>
                      <pic:pic xmlns:pic="http://schemas.openxmlformats.org/drawingml/2006/picture">
                        <pic:nvPicPr>
                          <pic:cNvPr id="105" name="Picture 105"/>
                          <pic:cNvPicPr/>
                        </pic:nvPicPr>
                        <pic:blipFill>
                          <a:blip r:embed="rId11"/>
                          <a:stretch>
                            <a:fillRect/>
                          </a:stretch>
                        </pic:blipFill>
                        <pic:spPr>
                          <a:xfrm>
                            <a:off x="0" y="104775"/>
                            <a:ext cx="82550" cy="25400"/>
                          </a:xfrm>
                          <a:prstGeom prst="rect">
                            <a:avLst/>
                          </a:prstGeom>
                        </pic:spPr>
                      </pic:pic>
                    </wpg:wgp>
                  </a:graphicData>
                </a:graphic>
              </wp:inline>
            </w:drawing>
          </mc:Choice>
          <mc:Fallback xmlns:a="http://schemas.openxmlformats.org/drawingml/2006/main">
            <w:pict>
              <v:group id="Group 15207" style="width:6.5pt;height:10.25pt;mso-position-horizontal-relative:char;mso-position-vertical-relative:line" coordsize="825,1301">
                <v:shape id="Picture 94" style="position:absolute;width:698;height:1016;left:95;top:0;" filled="f">
                  <v:imagedata r:id="rId12"/>
                </v:shape>
                <v:shape id="Picture 105" style="position:absolute;width:825;height:254;left:0;top:1047;" filled="f">
                  <v:imagedata r:id="rId13"/>
                </v:shape>
              </v:group>
            </w:pict>
          </mc:Fallback>
        </mc:AlternateContent>
      </w:r>
      <w:r>
        <w:rPr>
          <w:sz w:val="24"/>
        </w:rPr>
        <w:t xml:space="preserve"> </w:t>
      </w:r>
      <w:r>
        <w:rPr>
          <w:sz w:val="24"/>
        </w:rPr>
        <w:tab/>
      </w:r>
      <w:r>
        <w:rPr>
          <w:b/>
          <w:sz w:val="22"/>
          <w:u w:val="single" w:color="000000"/>
        </w:rPr>
        <w:t xml:space="preserve">EMPLOYER IMPACT </w:t>
      </w:r>
      <w:r>
        <w:rPr>
          <w:b/>
          <w:sz w:val="22"/>
          <w:u w:val="single" w:color="000000"/>
        </w:rPr>
        <w:t>......................................................................................................................2</w:t>
      </w:r>
      <w:r>
        <w:rPr>
          <w:sz w:val="24"/>
        </w:rPr>
        <w:t xml:space="preserve"> </w:t>
      </w:r>
    </w:p>
    <w:p w:rsidR="00E75746" w:rsidRDefault="005D0F02">
      <w:pPr>
        <w:tabs>
          <w:tab w:val="center" w:pos="1188"/>
          <w:tab w:val="center" w:pos="5929"/>
        </w:tabs>
        <w:spacing w:after="347" w:line="259" w:lineRule="auto"/>
        <w:ind w:left="0" w:right="0" w:firstLine="0"/>
      </w:pPr>
      <w:r>
        <w:rPr>
          <w:sz w:val="22"/>
        </w:rPr>
        <w:tab/>
      </w:r>
      <w:r>
        <w:rPr>
          <w:noProof/>
          <w:sz w:val="22"/>
        </w:rPr>
        <mc:AlternateContent>
          <mc:Choice Requires="wpg">
            <w:drawing>
              <wp:inline distT="0" distB="0" distL="0" distR="0">
                <wp:extent cx="82550" cy="133350"/>
                <wp:effectExtent l="0" t="0" r="0" b="0"/>
                <wp:docPr id="15208" name="Group 15208"/>
                <wp:cNvGraphicFramePr/>
                <a:graphic xmlns:a="http://schemas.openxmlformats.org/drawingml/2006/main">
                  <a:graphicData uri="http://schemas.microsoft.com/office/word/2010/wordprocessingGroup">
                    <wpg:wgp>
                      <wpg:cNvGrpSpPr/>
                      <wpg:grpSpPr>
                        <a:xfrm>
                          <a:off x="0" y="0"/>
                          <a:ext cx="82550" cy="133350"/>
                          <a:chOff x="0" y="0"/>
                          <a:chExt cx="82550" cy="133350"/>
                        </a:xfrm>
                      </wpg:grpSpPr>
                      <pic:pic xmlns:pic="http://schemas.openxmlformats.org/drawingml/2006/picture">
                        <pic:nvPicPr>
                          <pic:cNvPr id="108" name="Picture 108"/>
                          <pic:cNvPicPr/>
                        </pic:nvPicPr>
                        <pic:blipFill>
                          <a:blip r:embed="rId14"/>
                          <a:stretch>
                            <a:fillRect/>
                          </a:stretch>
                        </pic:blipFill>
                        <pic:spPr>
                          <a:xfrm>
                            <a:off x="3175" y="0"/>
                            <a:ext cx="76200" cy="104775"/>
                          </a:xfrm>
                          <a:prstGeom prst="rect">
                            <a:avLst/>
                          </a:prstGeom>
                        </pic:spPr>
                      </pic:pic>
                      <pic:pic xmlns:pic="http://schemas.openxmlformats.org/drawingml/2006/picture">
                        <pic:nvPicPr>
                          <pic:cNvPr id="120" name="Picture 120"/>
                          <pic:cNvPicPr/>
                        </pic:nvPicPr>
                        <pic:blipFill>
                          <a:blip r:embed="rId11"/>
                          <a:stretch>
                            <a:fillRect/>
                          </a:stretch>
                        </pic:blipFill>
                        <pic:spPr>
                          <a:xfrm>
                            <a:off x="0" y="107950"/>
                            <a:ext cx="82550" cy="25400"/>
                          </a:xfrm>
                          <a:prstGeom prst="rect">
                            <a:avLst/>
                          </a:prstGeom>
                        </pic:spPr>
                      </pic:pic>
                    </wpg:wgp>
                  </a:graphicData>
                </a:graphic>
              </wp:inline>
            </w:drawing>
          </mc:Choice>
          <mc:Fallback xmlns:a="http://schemas.openxmlformats.org/drawingml/2006/main">
            <w:pict>
              <v:group id="Group 15208" style="width:6.5pt;height:10.5pt;mso-position-horizontal-relative:char;mso-position-vertical-relative:line" coordsize="825,1333">
                <v:shape id="Picture 108" style="position:absolute;width:762;height:1047;left:31;top:0;" filled="f">
                  <v:imagedata r:id="rId15"/>
                </v:shape>
                <v:shape id="Picture 120" style="position:absolute;width:825;height:254;left:0;top:1079;" filled="f">
                  <v:imagedata r:id="rId13"/>
                </v:shape>
              </v:group>
            </w:pict>
          </mc:Fallback>
        </mc:AlternateContent>
      </w:r>
      <w:r>
        <w:rPr>
          <w:sz w:val="24"/>
        </w:rPr>
        <w:t xml:space="preserve"> </w:t>
      </w:r>
      <w:r>
        <w:rPr>
          <w:sz w:val="24"/>
        </w:rPr>
        <w:tab/>
      </w:r>
      <w:r>
        <w:rPr>
          <w:b/>
          <w:sz w:val="22"/>
          <w:u w:val="single" w:color="000000"/>
        </w:rPr>
        <w:t>PRIVACY ...........................................................................................................................</w:t>
      </w:r>
      <w:r>
        <w:rPr>
          <w:b/>
          <w:sz w:val="22"/>
          <w:u w:val="single" w:color="000000"/>
        </w:rPr>
        <w:t>...........2</w:t>
      </w:r>
      <w:r>
        <w:rPr>
          <w:sz w:val="24"/>
        </w:rPr>
        <w:t xml:space="preserve"> </w:t>
      </w:r>
    </w:p>
    <w:p w:rsidR="00E75746" w:rsidRDefault="005D0F02">
      <w:pPr>
        <w:tabs>
          <w:tab w:val="center" w:pos="1188"/>
          <w:tab w:val="center" w:pos="5929"/>
        </w:tabs>
        <w:spacing w:after="347" w:line="259" w:lineRule="auto"/>
        <w:ind w:left="0" w:right="0" w:firstLine="0"/>
      </w:pPr>
      <w:r>
        <w:rPr>
          <w:sz w:val="22"/>
        </w:rPr>
        <w:tab/>
      </w:r>
      <w:r>
        <w:rPr>
          <w:noProof/>
          <w:sz w:val="22"/>
        </w:rPr>
        <mc:AlternateContent>
          <mc:Choice Requires="wpg">
            <w:drawing>
              <wp:inline distT="0" distB="0" distL="0" distR="0">
                <wp:extent cx="82550" cy="133350"/>
                <wp:effectExtent l="0" t="0" r="0" b="0"/>
                <wp:docPr id="15209" name="Group 15209"/>
                <wp:cNvGraphicFramePr/>
                <a:graphic xmlns:a="http://schemas.openxmlformats.org/drawingml/2006/main">
                  <a:graphicData uri="http://schemas.microsoft.com/office/word/2010/wordprocessingGroup">
                    <wpg:wgp>
                      <wpg:cNvGrpSpPr/>
                      <wpg:grpSpPr>
                        <a:xfrm>
                          <a:off x="0" y="0"/>
                          <a:ext cx="82550" cy="133350"/>
                          <a:chOff x="0" y="0"/>
                          <a:chExt cx="82550" cy="133350"/>
                        </a:xfrm>
                      </wpg:grpSpPr>
                      <pic:pic xmlns:pic="http://schemas.openxmlformats.org/drawingml/2006/picture">
                        <pic:nvPicPr>
                          <pic:cNvPr id="123" name="Picture 123"/>
                          <pic:cNvPicPr/>
                        </pic:nvPicPr>
                        <pic:blipFill>
                          <a:blip r:embed="rId16"/>
                          <a:stretch>
                            <a:fillRect/>
                          </a:stretch>
                        </pic:blipFill>
                        <pic:spPr>
                          <a:xfrm>
                            <a:off x="3175" y="0"/>
                            <a:ext cx="76200" cy="107950"/>
                          </a:xfrm>
                          <a:prstGeom prst="rect">
                            <a:avLst/>
                          </a:prstGeom>
                        </pic:spPr>
                      </pic:pic>
                      <pic:pic xmlns:pic="http://schemas.openxmlformats.org/drawingml/2006/picture">
                        <pic:nvPicPr>
                          <pic:cNvPr id="135" name="Picture 135"/>
                          <pic:cNvPicPr/>
                        </pic:nvPicPr>
                        <pic:blipFill>
                          <a:blip r:embed="rId15"/>
                          <a:stretch>
                            <a:fillRect/>
                          </a:stretch>
                        </pic:blipFill>
                        <pic:spPr>
                          <a:xfrm>
                            <a:off x="0" y="107950"/>
                            <a:ext cx="82550" cy="25400"/>
                          </a:xfrm>
                          <a:prstGeom prst="rect">
                            <a:avLst/>
                          </a:prstGeom>
                        </pic:spPr>
                      </pic:pic>
                    </wpg:wgp>
                  </a:graphicData>
                </a:graphic>
              </wp:inline>
            </w:drawing>
          </mc:Choice>
          <mc:Fallback xmlns:a="http://schemas.openxmlformats.org/drawingml/2006/main">
            <w:pict>
              <v:group id="Group 15209" style="width:6.5pt;height:10.5pt;mso-position-horizontal-relative:char;mso-position-vertical-relative:line" coordsize="825,1333">
                <v:shape id="Picture 123" style="position:absolute;width:762;height:1079;left:31;top:0;" filled="f">
                  <v:imagedata r:id="rId17"/>
                </v:shape>
                <v:shape id="Picture 135" style="position:absolute;width:825;height:254;left:0;top:1079;" filled="f">
                  <v:imagedata r:id="rId13"/>
                </v:shape>
              </v:group>
            </w:pict>
          </mc:Fallback>
        </mc:AlternateContent>
      </w:r>
      <w:r>
        <w:rPr>
          <w:sz w:val="24"/>
        </w:rPr>
        <w:t xml:space="preserve"> </w:t>
      </w:r>
      <w:r>
        <w:rPr>
          <w:sz w:val="24"/>
        </w:rPr>
        <w:tab/>
      </w:r>
      <w:r>
        <w:rPr>
          <w:b/>
          <w:sz w:val="22"/>
          <w:u w:val="single" w:color="000000"/>
        </w:rPr>
        <w:t>BENEFIT COVERAGE QUESTIONS ...................................................................................................3</w:t>
      </w:r>
      <w:r>
        <w:rPr>
          <w:sz w:val="24"/>
        </w:rPr>
        <w:t xml:space="preserve"> </w:t>
      </w:r>
    </w:p>
    <w:p w:rsidR="00E75746" w:rsidRDefault="005D0F02">
      <w:pPr>
        <w:tabs>
          <w:tab w:val="center" w:pos="1188"/>
          <w:tab w:val="center" w:pos="5929"/>
        </w:tabs>
        <w:spacing w:after="347" w:line="259" w:lineRule="auto"/>
        <w:ind w:left="0" w:right="0" w:firstLine="0"/>
      </w:pPr>
      <w:r>
        <w:rPr>
          <w:sz w:val="22"/>
        </w:rPr>
        <w:lastRenderedPageBreak/>
        <w:tab/>
      </w:r>
      <w:r>
        <w:rPr>
          <w:noProof/>
          <w:sz w:val="22"/>
        </w:rPr>
        <mc:AlternateContent>
          <mc:Choice Requires="wpg">
            <w:drawing>
              <wp:inline distT="0" distB="0" distL="0" distR="0">
                <wp:extent cx="82550" cy="130175"/>
                <wp:effectExtent l="0" t="0" r="0" b="0"/>
                <wp:docPr id="15210" name="Group 15210"/>
                <wp:cNvGraphicFramePr/>
                <a:graphic xmlns:a="http://schemas.openxmlformats.org/drawingml/2006/main">
                  <a:graphicData uri="http://schemas.microsoft.com/office/word/2010/wordprocessingGroup">
                    <wpg:wgp>
                      <wpg:cNvGrpSpPr/>
                      <wpg:grpSpPr>
                        <a:xfrm>
                          <a:off x="0" y="0"/>
                          <a:ext cx="82550" cy="130175"/>
                          <a:chOff x="0" y="0"/>
                          <a:chExt cx="82550" cy="130175"/>
                        </a:xfrm>
                      </wpg:grpSpPr>
                      <pic:pic xmlns:pic="http://schemas.openxmlformats.org/drawingml/2006/picture">
                        <pic:nvPicPr>
                          <pic:cNvPr id="138" name="Picture 138"/>
                          <pic:cNvPicPr/>
                        </pic:nvPicPr>
                        <pic:blipFill>
                          <a:blip r:embed="rId18"/>
                          <a:stretch>
                            <a:fillRect/>
                          </a:stretch>
                        </pic:blipFill>
                        <pic:spPr>
                          <a:xfrm>
                            <a:off x="0" y="0"/>
                            <a:ext cx="82550" cy="104775"/>
                          </a:xfrm>
                          <a:prstGeom prst="rect">
                            <a:avLst/>
                          </a:prstGeom>
                        </pic:spPr>
                      </pic:pic>
                      <pic:pic xmlns:pic="http://schemas.openxmlformats.org/drawingml/2006/picture">
                        <pic:nvPicPr>
                          <pic:cNvPr id="150" name="Picture 150"/>
                          <pic:cNvPicPr/>
                        </pic:nvPicPr>
                        <pic:blipFill>
                          <a:blip r:embed="rId11"/>
                          <a:stretch>
                            <a:fillRect/>
                          </a:stretch>
                        </pic:blipFill>
                        <pic:spPr>
                          <a:xfrm>
                            <a:off x="0" y="104775"/>
                            <a:ext cx="82550" cy="25400"/>
                          </a:xfrm>
                          <a:prstGeom prst="rect">
                            <a:avLst/>
                          </a:prstGeom>
                        </pic:spPr>
                      </pic:pic>
                    </wpg:wgp>
                  </a:graphicData>
                </a:graphic>
              </wp:inline>
            </w:drawing>
          </mc:Choice>
          <mc:Fallback xmlns:a="http://schemas.openxmlformats.org/drawingml/2006/main">
            <w:pict>
              <v:group id="Group 15210" style="width:6.5pt;height:10.25pt;mso-position-horizontal-relative:char;mso-position-vertical-relative:line" coordsize="825,1301">
                <v:shape id="Picture 138" style="position:absolute;width:825;height:1047;left:0;top:0;" filled="f">
                  <v:imagedata r:id="rId19"/>
                </v:shape>
                <v:shape id="Picture 150" style="position:absolute;width:825;height:254;left:0;top:1047;" filled="f">
                  <v:imagedata r:id="rId13"/>
                </v:shape>
              </v:group>
            </w:pict>
          </mc:Fallback>
        </mc:AlternateContent>
      </w:r>
      <w:r>
        <w:rPr>
          <w:sz w:val="24"/>
        </w:rPr>
        <w:t xml:space="preserve"> </w:t>
      </w:r>
      <w:r>
        <w:rPr>
          <w:sz w:val="24"/>
        </w:rPr>
        <w:tab/>
      </w:r>
      <w:r>
        <w:rPr>
          <w:b/>
          <w:sz w:val="22"/>
          <w:u w:val="single" w:color="000000"/>
        </w:rPr>
        <w:t>PHARMACY ................................................................................................</w:t>
      </w:r>
      <w:r>
        <w:rPr>
          <w:b/>
          <w:sz w:val="22"/>
          <w:u w:val="single" w:color="000000"/>
        </w:rPr>
        <w:t>..................................7</w:t>
      </w:r>
      <w:r>
        <w:rPr>
          <w:sz w:val="24"/>
        </w:rPr>
        <w:t xml:space="preserve"> </w:t>
      </w:r>
    </w:p>
    <w:p w:rsidR="00E75746" w:rsidRDefault="005D0F02">
      <w:pPr>
        <w:tabs>
          <w:tab w:val="center" w:pos="1188"/>
          <w:tab w:val="center" w:pos="5929"/>
        </w:tabs>
        <w:spacing w:after="347" w:line="259" w:lineRule="auto"/>
        <w:ind w:left="0" w:right="0" w:firstLine="0"/>
      </w:pPr>
      <w:r>
        <w:rPr>
          <w:sz w:val="22"/>
        </w:rPr>
        <w:tab/>
      </w:r>
      <w:r>
        <w:rPr>
          <w:noProof/>
          <w:sz w:val="22"/>
        </w:rPr>
        <mc:AlternateContent>
          <mc:Choice Requires="wpg">
            <w:drawing>
              <wp:inline distT="0" distB="0" distL="0" distR="0">
                <wp:extent cx="82550" cy="127000"/>
                <wp:effectExtent l="0" t="0" r="0" b="0"/>
                <wp:docPr id="15211" name="Group 15211"/>
                <wp:cNvGraphicFramePr/>
                <a:graphic xmlns:a="http://schemas.openxmlformats.org/drawingml/2006/main">
                  <a:graphicData uri="http://schemas.microsoft.com/office/word/2010/wordprocessingGroup">
                    <wpg:wgp>
                      <wpg:cNvGrpSpPr/>
                      <wpg:grpSpPr>
                        <a:xfrm>
                          <a:off x="0" y="0"/>
                          <a:ext cx="82550" cy="127000"/>
                          <a:chOff x="0" y="0"/>
                          <a:chExt cx="82550" cy="127000"/>
                        </a:xfrm>
                      </wpg:grpSpPr>
                      <pic:pic xmlns:pic="http://schemas.openxmlformats.org/drawingml/2006/picture">
                        <pic:nvPicPr>
                          <pic:cNvPr id="153" name="Picture 153"/>
                          <pic:cNvPicPr/>
                        </pic:nvPicPr>
                        <pic:blipFill>
                          <a:blip r:embed="rId20"/>
                          <a:stretch>
                            <a:fillRect/>
                          </a:stretch>
                        </pic:blipFill>
                        <pic:spPr>
                          <a:xfrm>
                            <a:off x="6350" y="0"/>
                            <a:ext cx="73025" cy="104775"/>
                          </a:xfrm>
                          <a:prstGeom prst="rect">
                            <a:avLst/>
                          </a:prstGeom>
                        </pic:spPr>
                      </pic:pic>
                      <pic:pic xmlns:pic="http://schemas.openxmlformats.org/drawingml/2006/picture">
                        <pic:nvPicPr>
                          <pic:cNvPr id="163" name="Picture 163"/>
                          <pic:cNvPicPr/>
                        </pic:nvPicPr>
                        <pic:blipFill>
                          <a:blip r:embed="rId21"/>
                          <a:stretch>
                            <a:fillRect/>
                          </a:stretch>
                        </pic:blipFill>
                        <pic:spPr>
                          <a:xfrm>
                            <a:off x="0" y="104775"/>
                            <a:ext cx="82550" cy="22225"/>
                          </a:xfrm>
                          <a:prstGeom prst="rect">
                            <a:avLst/>
                          </a:prstGeom>
                        </pic:spPr>
                      </pic:pic>
                    </wpg:wgp>
                  </a:graphicData>
                </a:graphic>
              </wp:inline>
            </w:drawing>
          </mc:Choice>
          <mc:Fallback xmlns:a="http://schemas.openxmlformats.org/drawingml/2006/main">
            <w:pict>
              <v:group id="Group 15211" style="width:6.5pt;height:10pt;mso-position-horizontal-relative:char;mso-position-vertical-relative:line" coordsize="825,1270">
                <v:shape id="Picture 153" style="position:absolute;width:730;height:1047;left:63;top:0;" filled="f">
                  <v:imagedata r:id="rId22"/>
                </v:shape>
                <v:shape id="Picture 163" style="position:absolute;width:825;height:222;left:0;top:1047;" filled="f">
                  <v:imagedata r:id="rId23"/>
                </v:shape>
              </v:group>
            </w:pict>
          </mc:Fallback>
        </mc:AlternateContent>
      </w:r>
      <w:r>
        <w:rPr>
          <w:sz w:val="24"/>
        </w:rPr>
        <w:t xml:space="preserve"> </w:t>
      </w:r>
      <w:r>
        <w:rPr>
          <w:sz w:val="24"/>
        </w:rPr>
        <w:tab/>
      </w:r>
      <w:r>
        <w:rPr>
          <w:b/>
          <w:sz w:val="22"/>
          <w:u w:val="single" w:color="000000"/>
        </w:rPr>
        <w:t>TELEHEALTH, SYDNEY CARE AND 24/7 NURSELINE ........................................................................7</w:t>
      </w:r>
      <w:r>
        <w:rPr>
          <w:sz w:val="24"/>
        </w:rPr>
        <w:t xml:space="preserve"> </w:t>
      </w:r>
    </w:p>
    <w:p w:rsidR="00E75746" w:rsidRDefault="005D0F02">
      <w:pPr>
        <w:tabs>
          <w:tab w:val="center" w:pos="1188"/>
          <w:tab w:val="center" w:pos="5926"/>
        </w:tabs>
        <w:spacing w:after="347" w:line="259" w:lineRule="auto"/>
        <w:ind w:left="0" w:right="0" w:firstLine="0"/>
      </w:pPr>
      <w:r>
        <w:rPr>
          <w:sz w:val="22"/>
        </w:rPr>
        <w:tab/>
      </w:r>
      <w:r>
        <w:rPr>
          <w:noProof/>
          <w:sz w:val="22"/>
        </w:rPr>
        <mc:AlternateContent>
          <mc:Choice Requires="wpg">
            <w:drawing>
              <wp:inline distT="0" distB="0" distL="0" distR="0">
                <wp:extent cx="82550" cy="130175"/>
                <wp:effectExtent l="0" t="0" r="0" b="0"/>
                <wp:docPr id="15212" name="Group 15212"/>
                <wp:cNvGraphicFramePr/>
                <a:graphic xmlns:a="http://schemas.openxmlformats.org/drawingml/2006/main">
                  <a:graphicData uri="http://schemas.microsoft.com/office/word/2010/wordprocessingGroup">
                    <wpg:wgp>
                      <wpg:cNvGrpSpPr/>
                      <wpg:grpSpPr>
                        <a:xfrm>
                          <a:off x="0" y="0"/>
                          <a:ext cx="82550" cy="130175"/>
                          <a:chOff x="0" y="0"/>
                          <a:chExt cx="82550" cy="130175"/>
                        </a:xfrm>
                      </wpg:grpSpPr>
                      <pic:pic xmlns:pic="http://schemas.openxmlformats.org/drawingml/2006/picture">
                        <pic:nvPicPr>
                          <pic:cNvPr id="166" name="Picture 166"/>
                          <pic:cNvPicPr/>
                        </pic:nvPicPr>
                        <pic:blipFill>
                          <a:blip r:embed="rId24"/>
                          <a:stretch>
                            <a:fillRect/>
                          </a:stretch>
                        </pic:blipFill>
                        <pic:spPr>
                          <a:xfrm>
                            <a:off x="3175" y="0"/>
                            <a:ext cx="76200" cy="107950"/>
                          </a:xfrm>
                          <a:prstGeom prst="rect">
                            <a:avLst/>
                          </a:prstGeom>
                        </pic:spPr>
                      </pic:pic>
                      <pic:pic xmlns:pic="http://schemas.openxmlformats.org/drawingml/2006/picture">
                        <pic:nvPicPr>
                          <pic:cNvPr id="177" name="Picture 177"/>
                          <pic:cNvPicPr/>
                        </pic:nvPicPr>
                        <pic:blipFill>
                          <a:blip r:embed="rId21"/>
                          <a:stretch>
                            <a:fillRect/>
                          </a:stretch>
                        </pic:blipFill>
                        <pic:spPr>
                          <a:xfrm>
                            <a:off x="0" y="107950"/>
                            <a:ext cx="82550" cy="22225"/>
                          </a:xfrm>
                          <a:prstGeom prst="rect">
                            <a:avLst/>
                          </a:prstGeom>
                        </pic:spPr>
                      </pic:pic>
                    </wpg:wgp>
                  </a:graphicData>
                </a:graphic>
              </wp:inline>
            </w:drawing>
          </mc:Choice>
          <mc:Fallback xmlns:a="http://schemas.openxmlformats.org/drawingml/2006/main">
            <w:pict>
              <v:group id="Group 15212" style="width:6.5pt;height:10.25pt;mso-position-horizontal-relative:char;mso-position-vertical-relative:line" coordsize="825,1301">
                <v:shape id="Picture 166" style="position:absolute;width:762;height:1079;left:31;top:0;" filled="f">
                  <v:imagedata r:id="rId25"/>
                </v:shape>
                <v:shape id="Picture 177" style="position:absolute;width:825;height:222;left:0;top:1079;" filled="f">
                  <v:imagedata r:id="rId23"/>
                </v:shape>
              </v:group>
            </w:pict>
          </mc:Fallback>
        </mc:AlternateContent>
      </w:r>
      <w:r>
        <w:rPr>
          <w:sz w:val="24"/>
        </w:rPr>
        <w:t xml:space="preserve"> </w:t>
      </w:r>
      <w:r>
        <w:rPr>
          <w:sz w:val="24"/>
        </w:rPr>
        <w:tab/>
      </w:r>
      <w:r>
        <w:rPr>
          <w:b/>
          <w:sz w:val="22"/>
          <w:u w:val="single" w:color="000000"/>
        </w:rPr>
        <w:t xml:space="preserve">UNDERWRITING AND FINANCIAL </w:t>
      </w:r>
      <w:proofErr w:type="gramStart"/>
      <w:r>
        <w:rPr>
          <w:b/>
          <w:sz w:val="22"/>
          <w:u w:val="single" w:color="000000"/>
        </w:rPr>
        <w:t>QUESTIONS ........................................................</w:t>
      </w:r>
      <w:r>
        <w:rPr>
          <w:b/>
          <w:sz w:val="22"/>
          <w:u w:val="single" w:color="000000"/>
        </w:rPr>
        <w:t>.....................</w:t>
      </w:r>
      <w:proofErr w:type="gramEnd"/>
      <w:r>
        <w:rPr>
          <w:b/>
          <w:sz w:val="22"/>
          <w:u w:val="single" w:color="000000"/>
        </w:rPr>
        <w:t xml:space="preserve"> 11</w:t>
      </w:r>
      <w:r>
        <w:rPr>
          <w:sz w:val="24"/>
        </w:rPr>
        <w:t xml:space="preserve"> </w:t>
      </w:r>
    </w:p>
    <w:p w:rsidR="00E75746" w:rsidRDefault="005D0F02">
      <w:pPr>
        <w:tabs>
          <w:tab w:val="center" w:pos="1188"/>
          <w:tab w:val="center" w:pos="5926"/>
        </w:tabs>
        <w:spacing w:after="314" w:line="259" w:lineRule="auto"/>
        <w:ind w:left="0" w:right="0" w:firstLine="0"/>
      </w:pPr>
      <w:r>
        <w:rPr>
          <w:sz w:val="22"/>
        </w:rPr>
        <w:tab/>
      </w:r>
      <w:r>
        <w:rPr>
          <w:noProof/>
          <w:sz w:val="22"/>
        </w:rPr>
        <mc:AlternateContent>
          <mc:Choice Requires="wpg">
            <w:drawing>
              <wp:inline distT="0" distB="0" distL="0" distR="0">
                <wp:extent cx="82550" cy="127000"/>
                <wp:effectExtent l="0" t="0" r="0" b="0"/>
                <wp:docPr id="15213" name="Group 15213"/>
                <wp:cNvGraphicFramePr/>
                <a:graphic xmlns:a="http://schemas.openxmlformats.org/drawingml/2006/main">
                  <a:graphicData uri="http://schemas.microsoft.com/office/word/2010/wordprocessingGroup">
                    <wpg:wgp>
                      <wpg:cNvGrpSpPr/>
                      <wpg:grpSpPr>
                        <a:xfrm>
                          <a:off x="0" y="0"/>
                          <a:ext cx="82550" cy="127000"/>
                          <a:chOff x="0" y="0"/>
                          <a:chExt cx="82550" cy="127000"/>
                        </a:xfrm>
                      </wpg:grpSpPr>
                      <pic:pic xmlns:pic="http://schemas.openxmlformats.org/drawingml/2006/picture">
                        <pic:nvPicPr>
                          <pic:cNvPr id="180" name="Picture 180"/>
                          <pic:cNvPicPr/>
                        </pic:nvPicPr>
                        <pic:blipFill>
                          <a:blip r:embed="rId26"/>
                          <a:stretch>
                            <a:fillRect/>
                          </a:stretch>
                        </pic:blipFill>
                        <pic:spPr>
                          <a:xfrm>
                            <a:off x="3175" y="0"/>
                            <a:ext cx="76200" cy="104775"/>
                          </a:xfrm>
                          <a:prstGeom prst="rect">
                            <a:avLst/>
                          </a:prstGeom>
                        </pic:spPr>
                      </pic:pic>
                      <pic:pic xmlns:pic="http://schemas.openxmlformats.org/drawingml/2006/picture">
                        <pic:nvPicPr>
                          <pic:cNvPr id="191" name="Picture 191"/>
                          <pic:cNvPicPr/>
                        </pic:nvPicPr>
                        <pic:blipFill>
                          <a:blip r:embed="rId21"/>
                          <a:stretch>
                            <a:fillRect/>
                          </a:stretch>
                        </pic:blipFill>
                        <pic:spPr>
                          <a:xfrm>
                            <a:off x="0" y="104775"/>
                            <a:ext cx="82550" cy="22225"/>
                          </a:xfrm>
                          <a:prstGeom prst="rect">
                            <a:avLst/>
                          </a:prstGeom>
                        </pic:spPr>
                      </pic:pic>
                    </wpg:wgp>
                  </a:graphicData>
                </a:graphic>
              </wp:inline>
            </w:drawing>
          </mc:Choice>
          <mc:Fallback xmlns:a="http://schemas.openxmlformats.org/drawingml/2006/main">
            <w:pict>
              <v:group id="Group 15213" style="width:6.5pt;height:10pt;mso-position-horizontal-relative:char;mso-position-vertical-relative:line" coordsize="825,1270">
                <v:shape id="Picture 180" style="position:absolute;width:762;height:1047;left:31;top:0;" filled="f">
                  <v:imagedata r:id="rId27"/>
                </v:shape>
                <v:shape id="Picture 191" style="position:absolute;width:825;height:222;left:0;top:1047;" filled="f">
                  <v:imagedata r:id="rId23"/>
                </v:shape>
              </v:group>
            </w:pict>
          </mc:Fallback>
        </mc:AlternateContent>
      </w:r>
      <w:r>
        <w:rPr>
          <w:sz w:val="24"/>
        </w:rPr>
        <w:t xml:space="preserve"> </w:t>
      </w:r>
      <w:r>
        <w:rPr>
          <w:sz w:val="24"/>
        </w:rPr>
        <w:tab/>
      </w:r>
      <w:r>
        <w:rPr>
          <w:b/>
          <w:sz w:val="22"/>
          <w:u w:val="single" w:color="000000"/>
        </w:rPr>
        <w:t>LIFE AND DISABILITY QUESTIONS ................................................................................................ 13</w:t>
      </w:r>
      <w:r>
        <w:rPr>
          <w:sz w:val="24"/>
        </w:rPr>
        <w:t xml:space="preserve"> </w:t>
      </w:r>
    </w:p>
    <w:p w:rsidR="00E75746" w:rsidRDefault="005D0F02">
      <w:pPr>
        <w:spacing w:after="40" w:line="259" w:lineRule="auto"/>
        <w:ind w:left="1076" w:right="0" w:firstLine="0"/>
      </w:pPr>
      <w:r>
        <w:rPr>
          <w:sz w:val="22"/>
        </w:rPr>
        <w:t xml:space="preserve"> </w:t>
      </w:r>
    </w:p>
    <w:p w:rsidR="00E75746" w:rsidRDefault="005D0F02">
      <w:pPr>
        <w:spacing w:after="179" w:line="259" w:lineRule="auto"/>
        <w:ind w:left="1076" w:right="0" w:firstLine="0"/>
      </w:pPr>
      <w:r>
        <w:rPr>
          <w:b/>
          <w:color w:val="C00000"/>
        </w:rPr>
        <w:t xml:space="preserve"> </w:t>
      </w:r>
    </w:p>
    <w:p w:rsidR="00E75746" w:rsidRDefault="005D0F02">
      <w:pPr>
        <w:spacing w:after="0" w:line="259" w:lineRule="auto"/>
        <w:ind w:left="1076" w:right="0" w:firstLine="0"/>
      </w:pPr>
      <w:r>
        <w:rPr>
          <w:b/>
          <w:color w:val="C00000"/>
        </w:rPr>
        <w:t xml:space="preserve"> </w:t>
      </w:r>
      <w:r>
        <w:rPr>
          <w:b/>
          <w:color w:val="C00000"/>
        </w:rPr>
        <w:tab/>
      </w:r>
      <w:r>
        <w:t xml:space="preserve"> </w:t>
      </w:r>
      <w:r>
        <w:br w:type="page"/>
      </w:r>
    </w:p>
    <w:tbl>
      <w:tblPr>
        <w:tblStyle w:val="TableGrid"/>
        <w:tblW w:w="9592" w:type="dxa"/>
        <w:tblInd w:w="962" w:type="dxa"/>
        <w:tblCellMar>
          <w:top w:w="87" w:type="dxa"/>
          <w:left w:w="115" w:type="dxa"/>
          <w:bottom w:w="0" w:type="dxa"/>
          <w:right w:w="115" w:type="dxa"/>
        </w:tblCellMar>
        <w:tblLook w:val="04A0" w:firstRow="1" w:lastRow="0" w:firstColumn="1" w:lastColumn="0" w:noHBand="0" w:noVBand="1"/>
      </w:tblPr>
      <w:tblGrid>
        <w:gridCol w:w="9592"/>
      </w:tblGrid>
      <w:tr w:rsidR="00E75746">
        <w:trPr>
          <w:trHeight w:val="438"/>
        </w:trPr>
        <w:tc>
          <w:tcPr>
            <w:tcW w:w="9592" w:type="dxa"/>
            <w:tcBorders>
              <w:top w:val="single" w:sz="4" w:space="0" w:color="000000"/>
              <w:left w:val="single" w:sz="4" w:space="0" w:color="000000"/>
              <w:bottom w:val="single" w:sz="4" w:space="0" w:color="000000"/>
              <w:right w:val="single" w:sz="4" w:space="0" w:color="000000"/>
            </w:tcBorders>
            <w:shd w:val="clear" w:color="auto" w:fill="D9D9D9"/>
          </w:tcPr>
          <w:p w:rsidR="00E75746" w:rsidRDefault="005D0F02">
            <w:pPr>
              <w:spacing w:after="0" w:line="259" w:lineRule="auto"/>
              <w:ind w:left="15" w:right="0" w:firstLine="0"/>
              <w:jc w:val="center"/>
            </w:pPr>
            <w:r>
              <w:rPr>
                <w:noProof/>
              </w:rPr>
              <w:lastRenderedPageBreak/>
              <w:drawing>
                <wp:inline distT="0" distB="0" distL="0" distR="0">
                  <wp:extent cx="88900" cy="142875"/>
                  <wp:effectExtent l="0" t="0" r="0" b="0"/>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28"/>
                          <a:stretch>
                            <a:fillRect/>
                          </a:stretch>
                        </pic:blipFill>
                        <pic:spPr>
                          <a:xfrm>
                            <a:off x="0" y="0"/>
                            <a:ext cx="88900" cy="142875"/>
                          </a:xfrm>
                          <a:prstGeom prst="rect">
                            <a:avLst/>
                          </a:prstGeom>
                        </pic:spPr>
                      </pic:pic>
                    </a:graphicData>
                  </a:graphic>
                </wp:inline>
              </w:drawing>
            </w:r>
            <w:r>
              <w:rPr>
                <w:rFonts w:ascii="Arial" w:eastAsia="Arial" w:hAnsi="Arial" w:cs="Arial"/>
                <w:sz w:val="32"/>
              </w:rPr>
              <w:t xml:space="preserve"> </w:t>
            </w:r>
            <w:r>
              <w:rPr>
                <w:sz w:val="32"/>
              </w:rPr>
              <w:t xml:space="preserve">Employer Impact </w:t>
            </w:r>
          </w:p>
        </w:tc>
      </w:tr>
    </w:tbl>
    <w:p w:rsidR="00E75746" w:rsidRDefault="005D0F02">
      <w:pPr>
        <w:spacing w:after="54" w:line="259" w:lineRule="auto"/>
        <w:ind w:left="1076" w:right="0" w:firstLine="0"/>
      </w:pPr>
      <w:r>
        <w:rPr>
          <w:b/>
        </w:rPr>
        <w:t xml:space="preserve"> </w:t>
      </w:r>
    </w:p>
    <w:p w:rsidR="00E75746" w:rsidRDefault="005D0F02">
      <w:pPr>
        <w:spacing w:after="2" w:line="249" w:lineRule="auto"/>
        <w:ind w:left="1647" w:right="434" w:hanging="586"/>
      </w:pPr>
      <w:r>
        <w:rPr>
          <w:b/>
        </w:rPr>
        <w:t>1.1</w:t>
      </w:r>
      <w:r>
        <w:rPr>
          <w:rFonts w:ascii="Arial" w:eastAsia="Arial" w:hAnsi="Arial" w:cs="Arial"/>
          <w:b/>
        </w:rPr>
        <w:t xml:space="preserve"> </w:t>
      </w:r>
      <w:r>
        <w:rPr>
          <w:b/>
        </w:rPr>
        <w:t xml:space="preserve">How will Anthem address open enrollment over the next several months for clients who do not have online resources? </w:t>
      </w:r>
    </w:p>
    <w:p w:rsidR="00E75746" w:rsidRDefault="005D0F02">
      <w:pPr>
        <w:spacing w:after="0" w:line="241" w:lineRule="auto"/>
        <w:ind w:left="1076" w:firstLine="0"/>
        <w:jc w:val="both"/>
      </w:pPr>
      <w:r>
        <w:t xml:space="preserve">The team is developing virtual open enrollment options and will share them when available. Members can call the number on the back of their identification card to confirm coverage.  </w:t>
      </w:r>
    </w:p>
    <w:p w:rsidR="00E75746" w:rsidRDefault="005D0F02">
      <w:pPr>
        <w:spacing w:after="59" w:line="259" w:lineRule="auto"/>
        <w:ind w:left="1076" w:right="0" w:firstLine="0"/>
      </w:pPr>
      <w:r>
        <w:rPr>
          <w:b/>
        </w:rPr>
        <w:t xml:space="preserve"> </w:t>
      </w:r>
    </w:p>
    <w:p w:rsidR="00E75746" w:rsidRDefault="005D0F02">
      <w:pPr>
        <w:ind w:left="1071" w:right="449"/>
      </w:pPr>
      <w:r>
        <w:rPr>
          <w:b/>
        </w:rPr>
        <w:t>1.2</w:t>
      </w:r>
      <w:r>
        <w:rPr>
          <w:rFonts w:ascii="Arial" w:eastAsia="Arial" w:hAnsi="Arial" w:cs="Arial"/>
          <w:b/>
        </w:rPr>
        <w:t xml:space="preserve"> </w:t>
      </w:r>
      <w:r>
        <w:rPr>
          <w:b/>
        </w:rPr>
        <w:t>Why is it important to refer to the CDC for questions related to CO</w:t>
      </w:r>
      <w:r>
        <w:rPr>
          <w:b/>
        </w:rPr>
        <w:t xml:space="preserve">VID-19? </w:t>
      </w:r>
      <w:r>
        <w:t xml:space="preserve">The COVID-19 outbreak is an emerging, rapidly evolving situation and CDC provides updated information as it becomes available, in addition to updated guidance.  </w:t>
      </w:r>
    </w:p>
    <w:p w:rsidR="00E75746" w:rsidRDefault="005D0F02">
      <w:pPr>
        <w:spacing w:after="0" w:line="259" w:lineRule="auto"/>
        <w:ind w:left="1076" w:right="0" w:firstLine="0"/>
      </w:pPr>
      <w:r>
        <w:t xml:space="preserve"> </w:t>
      </w:r>
    </w:p>
    <w:p w:rsidR="00E75746" w:rsidRDefault="005D0F02">
      <w:pPr>
        <w:ind w:left="1071" w:right="449"/>
      </w:pPr>
      <w:r>
        <w:t>The CDC is an official, public and national source of information and acts as a clea</w:t>
      </w:r>
      <w:r>
        <w:t>ringhouse for information and reporting on infectious disease as it is constantly evolving.  As part of the US Department of Health and Human Services, its mission is to protect America from health, safety and security threats, both foreign and in the Unit</w:t>
      </w:r>
      <w:r>
        <w:t xml:space="preserve">ed States. </w:t>
      </w:r>
    </w:p>
    <w:p w:rsidR="00E75746" w:rsidRDefault="005D0F02">
      <w:pPr>
        <w:spacing w:after="58" w:line="259" w:lineRule="auto"/>
        <w:ind w:left="1076" w:right="0" w:firstLine="0"/>
      </w:pPr>
      <w:r>
        <w:lastRenderedPageBreak/>
        <w:t xml:space="preserve"> </w:t>
      </w:r>
    </w:p>
    <w:p w:rsidR="00E75746" w:rsidRDefault="005D0F02">
      <w:pPr>
        <w:spacing w:after="2" w:line="249" w:lineRule="auto"/>
        <w:ind w:left="1061" w:right="434" w:firstLine="0"/>
      </w:pPr>
      <w:r>
        <w:rPr>
          <w:b/>
        </w:rPr>
        <w:t>1.3</w:t>
      </w:r>
      <w:r>
        <w:rPr>
          <w:rFonts w:ascii="Arial" w:eastAsia="Arial" w:hAnsi="Arial" w:cs="Arial"/>
          <w:b/>
        </w:rPr>
        <w:t xml:space="preserve"> </w:t>
      </w:r>
      <w:r>
        <w:rPr>
          <w:b/>
        </w:rPr>
        <w:t xml:space="preserve">What can employers do? </w:t>
      </w:r>
    </w:p>
    <w:p w:rsidR="00E75746" w:rsidRDefault="005D0F02">
      <w:pPr>
        <w:ind w:left="1071" w:right="449"/>
      </w:pPr>
      <w:r>
        <w:t xml:space="preserve">Employers should check the CDC page for </w:t>
      </w:r>
      <w:hyperlink r:id="rId29">
        <w:r>
          <w:rPr>
            <w:color w:val="0000FF"/>
            <w:u w:val="single" w:color="0000FF"/>
          </w:rPr>
          <w:t>interim guidance for businesses and</w:t>
        </w:r>
      </w:hyperlink>
      <w:hyperlink r:id="rId30">
        <w:r>
          <w:rPr>
            <w:color w:val="0000FF"/>
          </w:rPr>
          <w:t xml:space="preserve"> </w:t>
        </w:r>
      </w:hyperlink>
      <w:hyperlink r:id="rId31">
        <w:r>
          <w:rPr>
            <w:color w:val="0000FF"/>
            <w:u w:val="single" w:color="0000FF"/>
          </w:rPr>
          <w:t>employers</w:t>
        </w:r>
      </w:hyperlink>
      <w:hyperlink r:id="rId32">
        <w:r>
          <w:t xml:space="preserve"> </w:t>
        </w:r>
      </w:hyperlink>
      <w:r>
        <w:t xml:space="preserve">for information on strategies that can be used to prevent the spread of COVID-19 and keep employees safe. </w:t>
      </w:r>
    </w:p>
    <w:p w:rsidR="00E75746" w:rsidRDefault="005D0F02">
      <w:pPr>
        <w:spacing w:after="0" w:line="259" w:lineRule="auto"/>
        <w:ind w:left="1076" w:right="0" w:firstLine="0"/>
      </w:pPr>
      <w:r>
        <w:t xml:space="preserve"> </w:t>
      </w:r>
    </w:p>
    <w:p w:rsidR="00E75746" w:rsidRDefault="005D0F02">
      <w:pPr>
        <w:spacing w:after="59" w:line="259" w:lineRule="auto"/>
        <w:ind w:left="1076" w:right="0" w:firstLine="0"/>
      </w:pPr>
      <w:r>
        <w:t xml:space="preserve"> </w:t>
      </w:r>
    </w:p>
    <w:p w:rsidR="00E75746" w:rsidRDefault="005D0F02">
      <w:pPr>
        <w:spacing w:after="2" w:line="249" w:lineRule="auto"/>
        <w:ind w:left="1647" w:right="434" w:hanging="586"/>
      </w:pPr>
      <w:r>
        <w:rPr>
          <w:b/>
        </w:rPr>
        <w:t>1.4</w:t>
      </w:r>
      <w:r>
        <w:rPr>
          <w:rFonts w:ascii="Arial" w:eastAsia="Arial" w:hAnsi="Arial" w:cs="Arial"/>
          <w:b/>
        </w:rPr>
        <w:t xml:space="preserve"> </w:t>
      </w:r>
      <w:r>
        <w:rPr>
          <w:b/>
        </w:rPr>
        <w:t xml:space="preserve">How does the CDC recommend local governments and communities prepare for a pandemic? </w:t>
      </w:r>
    </w:p>
    <w:p w:rsidR="00E75746" w:rsidRDefault="005D0F02">
      <w:pPr>
        <w:ind w:left="1071" w:right="449"/>
      </w:pPr>
      <w:r>
        <w:t>The</w:t>
      </w:r>
      <w:r>
        <w:t xml:space="preserve"> CDC has developed pandemic preparedness resources that are available </w:t>
      </w:r>
      <w:hyperlink r:id="rId33">
        <w:r>
          <w:rPr>
            <w:color w:val="0000FF"/>
            <w:u w:val="single" w:color="0000FF"/>
          </w:rPr>
          <w:t>here</w:t>
        </w:r>
      </w:hyperlink>
      <w:hyperlink r:id="rId34">
        <w:r>
          <w:t>.</w:t>
        </w:r>
      </w:hyperlink>
      <w:r>
        <w:t xml:space="preserve">  </w:t>
      </w:r>
    </w:p>
    <w:p w:rsidR="00E75746" w:rsidRDefault="005D0F02">
      <w:pPr>
        <w:spacing w:after="0" w:line="259" w:lineRule="auto"/>
        <w:ind w:left="1076" w:right="0" w:firstLine="0"/>
      </w:pPr>
      <w:r>
        <w:t xml:space="preserve"> </w:t>
      </w:r>
    </w:p>
    <w:p w:rsidR="00E75746" w:rsidRDefault="005D0F02">
      <w:pPr>
        <w:spacing w:after="0" w:line="259" w:lineRule="auto"/>
        <w:ind w:left="1076" w:right="0" w:firstLine="0"/>
      </w:pPr>
      <w:r>
        <w:rPr>
          <w:sz w:val="22"/>
        </w:rPr>
        <w:t xml:space="preserve"> </w:t>
      </w:r>
    </w:p>
    <w:tbl>
      <w:tblPr>
        <w:tblStyle w:val="TableGrid"/>
        <w:tblW w:w="9592" w:type="dxa"/>
        <w:tblInd w:w="962" w:type="dxa"/>
        <w:tblCellMar>
          <w:top w:w="85" w:type="dxa"/>
          <w:left w:w="115" w:type="dxa"/>
          <w:bottom w:w="0" w:type="dxa"/>
          <w:right w:w="115" w:type="dxa"/>
        </w:tblCellMar>
        <w:tblLook w:val="04A0" w:firstRow="1" w:lastRow="0" w:firstColumn="1" w:lastColumn="0" w:noHBand="0" w:noVBand="1"/>
      </w:tblPr>
      <w:tblGrid>
        <w:gridCol w:w="9592"/>
      </w:tblGrid>
      <w:tr w:rsidR="00E75746">
        <w:trPr>
          <w:trHeight w:val="438"/>
        </w:trPr>
        <w:tc>
          <w:tcPr>
            <w:tcW w:w="9592" w:type="dxa"/>
            <w:tcBorders>
              <w:top w:val="single" w:sz="4" w:space="0" w:color="000000"/>
              <w:left w:val="single" w:sz="4" w:space="0" w:color="000000"/>
              <w:bottom w:val="single" w:sz="4" w:space="0" w:color="000000"/>
              <w:right w:val="single" w:sz="4" w:space="0" w:color="000000"/>
            </w:tcBorders>
            <w:shd w:val="clear" w:color="auto" w:fill="D9D9D9"/>
          </w:tcPr>
          <w:p w:rsidR="00E75746" w:rsidRDefault="005D0F02">
            <w:pPr>
              <w:spacing w:after="0" w:line="259" w:lineRule="auto"/>
              <w:ind w:left="6" w:right="0" w:firstLine="0"/>
              <w:jc w:val="center"/>
            </w:pPr>
            <w:r>
              <w:rPr>
                <w:noProof/>
              </w:rPr>
              <w:drawing>
                <wp:inline distT="0" distB="0" distL="0" distR="0">
                  <wp:extent cx="92075" cy="142875"/>
                  <wp:effectExtent l="0" t="0" r="0" b="0"/>
                  <wp:docPr id="296" name="Picture 296"/>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35"/>
                          <a:stretch>
                            <a:fillRect/>
                          </a:stretch>
                        </pic:blipFill>
                        <pic:spPr>
                          <a:xfrm>
                            <a:off x="0" y="0"/>
                            <a:ext cx="92075" cy="142875"/>
                          </a:xfrm>
                          <a:prstGeom prst="rect">
                            <a:avLst/>
                          </a:prstGeom>
                        </pic:spPr>
                      </pic:pic>
                    </a:graphicData>
                  </a:graphic>
                </wp:inline>
              </w:drawing>
            </w:r>
            <w:r>
              <w:rPr>
                <w:rFonts w:ascii="Arial" w:eastAsia="Arial" w:hAnsi="Arial" w:cs="Arial"/>
                <w:sz w:val="32"/>
              </w:rPr>
              <w:t xml:space="preserve"> </w:t>
            </w:r>
            <w:r>
              <w:rPr>
                <w:sz w:val="32"/>
              </w:rPr>
              <w:t xml:space="preserve">Privacy </w:t>
            </w:r>
          </w:p>
        </w:tc>
      </w:tr>
    </w:tbl>
    <w:p w:rsidR="00E75746" w:rsidRDefault="005D0F02">
      <w:pPr>
        <w:spacing w:after="118" w:line="259" w:lineRule="auto"/>
        <w:ind w:left="1076" w:right="0" w:firstLine="0"/>
      </w:pPr>
      <w:r>
        <w:rPr>
          <w:color w:val="1F497D"/>
          <w:sz w:val="22"/>
        </w:rPr>
        <w:t xml:space="preserve"> </w:t>
      </w:r>
    </w:p>
    <w:p w:rsidR="00E75746" w:rsidRDefault="005D0F02">
      <w:pPr>
        <w:spacing w:after="2" w:line="249" w:lineRule="auto"/>
        <w:ind w:left="1647" w:right="434" w:hanging="586"/>
      </w:pPr>
      <w:r>
        <w:rPr>
          <w:b/>
        </w:rPr>
        <w:t>2.1</w:t>
      </w:r>
      <w:r>
        <w:rPr>
          <w:rFonts w:ascii="Arial" w:eastAsia="Arial" w:hAnsi="Arial" w:cs="Arial"/>
          <w:b/>
        </w:rPr>
        <w:t xml:space="preserve"> </w:t>
      </w:r>
      <w:r>
        <w:rPr>
          <w:b/>
        </w:rPr>
        <w:t xml:space="preserve">Can Anthem provide my company with information regarding COVID-19 cases within our member population? </w:t>
      </w:r>
    </w:p>
    <w:p w:rsidR="00E75746" w:rsidRDefault="005D0F02">
      <w:pPr>
        <w:spacing w:after="0" w:line="259" w:lineRule="auto"/>
        <w:ind w:left="1076" w:right="0" w:firstLine="0"/>
      </w:pPr>
      <w:r>
        <w:t xml:space="preserve"> </w:t>
      </w:r>
    </w:p>
    <w:p w:rsidR="00E75746" w:rsidRDefault="005D0F02">
      <w:pPr>
        <w:ind w:left="1071" w:right="449"/>
      </w:pPr>
      <w:r>
        <w:lastRenderedPageBreak/>
        <w:t xml:space="preserve">Applicable law limits Anthem’s ability to share an individual’s protected health </w:t>
      </w:r>
      <w:r>
        <w:t xml:space="preserve">information with an employer absent an authorization or certain extenuating circumstances. As a result, Anthem is limited by law in its ability to disclose </w:t>
      </w:r>
      <w:r>
        <w:t>individual’s protected health information to an employer.</w:t>
      </w:r>
      <w:r>
        <w:t xml:space="preserve"> </w:t>
      </w:r>
    </w:p>
    <w:p w:rsidR="00E75746" w:rsidRDefault="005D0F02">
      <w:pPr>
        <w:spacing w:after="0" w:line="259" w:lineRule="auto"/>
        <w:ind w:left="1076" w:right="0" w:firstLine="0"/>
      </w:pPr>
      <w:r>
        <w:t xml:space="preserve">  </w:t>
      </w:r>
    </w:p>
    <w:p w:rsidR="00E75746" w:rsidRDefault="005D0F02">
      <w:pPr>
        <w:spacing w:after="51"/>
        <w:ind w:left="1071" w:right="449"/>
      </w:pPr>
      <w:r>
        <w:t>HIPAA permits limited disclosure of pr</w:t>
      </w:r>
      <w:r>
        <w:t xml:space="preserve">otected health information to group health plan representatives if: </w:t>
      </w:r>
    </w:p>
    <w:p w:rsidR="00E75746" w:rsidRDefault="005D0F02">
      <w:pPr>
        <w:numPr>
          <w:ilvl w:val="0"/>
          <w:numId w:val="1"/>
        </w:numPr>
        <w:ind w:right="225" w:hanging="360"/>
      </w:pPr>
      <w:r>
        <w:t xml:space="preserve">The requestor is a group health plan representative and, </w:t>
      </w:r>
    </w:p>
    <w:p w:rsidR="00E75746" w:rsidRDefault="005D0F02">
      <w:pPr>
        <w:numPr>
          <w:ilvl w:val="0"/>
          <w:numId w:val="1"/>
        </w:numPr>
        <w:spacing w:after="0" w:line="259" w:lineRule="auto"/>
        <w:ind w:right="225" w:hanging="360"/>
      </w:pPr>
      <w:r>
        <w:t xml:space="preserve">The purpose of the request is related to the operations of the health plan.  </w:t>
      </w:r>
    </w:p>
    <w:p w:rsidR="00E75746" w:rsidRDefault="005D0F02">
      <w:pPr>
        <w:spacing w:after="0" w:line="259" w:lineRule="auto"/>
        <w:ind w:left="1076" w:right="0" w:firstLine="0"/>
      </w:pPr>
      <w:r>
        <w:t xml:space="preserve"> </w:t>
      </w:r>
    </w:p>
    <w:p w:rsidR="00E75746" w:rsidRDefault="005D0F02">
      <w:pPr>
        <w:spacing w:line="240" w:lineRule="auto"/>
        <w:ind w:left="1061" w:right="275" w:firstLine="0"/>
      </w:pPr>
      <w:r>
        <w:t xml:space="preserve">Under the current circumstances, information regarding COVID diagnoses is </w:t>
      </w:r>
      <w:r>
        <w:t xml:space="preserve">unlikely to relate to the health plan’s operations. Nevertheless, when receiving such requests, we will inquire about the nature of the request and the requestor’s </w:t>
      </w:r>
      <w:r>
        <w:t xml:space="preserve">role to determine </w:t>
      </w:r>
      <w:r>
        <w:t xml:space="preserve">what protected health information, if any can be disclosed. </w:t>
      </w:r>
    </w:p>
    <w:p w:rsidR="00E75746" w:rsidRDefault="005D0F02">
      <w:pPr>
        <w:spacing w:after="0" w:line="259" w:lineRule="auto"/>
        <w:ind w:left="1076" w:right="0" w:firstLine="0"/>
      </w:pPr>
      <w:r>
        <w:t xml:space="preserve">  </w:t>
      </w:r>
    </w:p>
    <w:p w:rsidR="00E75746" w:rsidRDefault="005D0F02">
      <w:pPr>
        <w:ind w:left="1071" w:right="449"/>
      </w:pPr>
      <w:r>
        <w:t xml:space="preserve">Most importantly, Anthem may not have records indicating any affirmative medical diagnosis. We recommend that </w:t>
      </w:r>
      <w:r>
        <w:lastRenderedPageBreak/>
        <w:t>employer groups concerned about the virus work with relevant regional and national</w:t>
      </w:r>
      <w:r>
        <w:t xml:space="preserve"> public health authorities to remain apprised of any developments. </w:t>
      </w:r>
    </w:p>
    <w:p w:rsidR="00E75746" w:rsidRDefault="005D0F02">
      <w:pPr>
        <w:spacing w:after="54" w:line="259" w:lineRule="auto"/>
        <w:ind w:left="1076" w:right="0" w:firstLine="0"/>
      </w:pPr>
      <w:r>
        <w:t xml:space="preserve"> </w:t>
      </w:r>
    </w:p>
    <w:p w:rsidR="00E75746" w:rsidRDefault="005D0F02">
      <w:pPr>
        <w:spacing w:after="2" w:line="249" w:lineRule="auto"/>
        <w:ind w:left="1647" w:right="434" w:hanging="586"/>
      </w:pPr>
      <w:r>
        <w:rPr>
          <w:b/>
        </w:rPr>
        <w:t>2.2</w:t>
      </w:r>
      <w:r>
        <w:rPr>
          <w:rFonts w:ascii="Arial" w:eastAsia="Arial" w:hAnsi="Arial" w:cs="Arial"/>
          <w:b/>
        </w:rPr>
        <w:t xml:space="preserve"> </w:t>
      </w:r>
      <w:r>
        <w:rPr>
          <w:b/>
        </w:rPr>
        <w:t xml:space="preserve">Can an employer receive information on the number of claims — but not specific names — for COVID-19 tests and related services? </w:t>
      </w:r>
    </w:p>
    <w:p w:rsidR="00E75746" w:rsidRDefault="005D0F02">
      <w:pPr>
        <w:ind w:left="1071" w:right="449"/>
      </w:pPr>
      <w:r>
        <w:t>No. Currently, it may be possible to identify someone</w:t>
      </w:r>
      <w:r>
        <w:t xml:space="preserve"> specifically even if, for example, their name is not shared. We recommend checking in with local health authorities to understand the total number of cases in any given area.  </w:t>
      </w:r>
    </w:p>
    <w:p w:rsidR="00E75746" w:rsidRDefault="005D0F02">
      <w:pPr>
        <w:spacing w:after="0" w:line="259" w:lineRule="auto"/>
        <w:ind w:left="1076" w:right="0" w:firstLine="0"/>
      </w:pPr>
      <w:r>
        <w:rPr>
          <w:sz w:val="22"/>
        </w:rPr>
        <w:t xml:space="preserve"> </w:t>
      </w:r>
    </w:p>
    <w:tbl>
      <w:tblPr>
        <w:tblStyle w:val="TableGrid"/>
        <w:tblW w:w="9592" w:type="dxa"/>
        <w:tblInd w:w="962" w:type="dxa"/>
        <w:tblCellMar>
          <w:top w:w="88" w:type="dxa"/>
          <w:left w:w="115" w:type="dxa"/>
          <w:bottom w:w="0" w:type="dxa"/>
          <w:right w:w="115" w:type="dxa"/>
        </w:tblCellMar>
        <w:tblLook w:val="04A0" w:firstRow="1" w:lastRow="0" w:firstColumn="1" w:lastColumn="0" w:noHBand="0" w:noVBand="1"/>
      </w:tblPr>
      <w:tblGrid>
        <w:gridCol w:w="9592"/>
      </w:tblGrid>
      <w:tr w:rsidR="00E75746">
        <w:trPr>
          <w:trHeight w:val="438"/>
        </w:trPr>
        <w:tc>
          <w:tcPr>
            <w:tcW w:w="9592" w:type="dxa"/>
            <w:tcBorders>
              <w:top w:val="single" w:sz="4" w:space="0" w:color="000000"/>
              <w:left w:val="single" w:sz="4" w:space="0" w:color="000000"/>
              <w:bottom w:val="single" w:sz="4" w:space="0" w:color="000000"/>
              <w:right w:val="single" w:sz="4" w:space="0" w:color="000000"/>
            </w:tcBorders>
            <w:shd w:val="clear" w:color="auto" w:fill="D9D9D9"/>
          </w:tcPr>
          <w:p w:rsidR="00E75746" w:rsidRDefault="005D0F02">
            <w:pPr>
              <w:spacing w:after="0" w:line="259" w:lineRule="auto"/>
              <w:ind w:left="0" w:right="1" w:firstLine="0"/>
              <w:jc w:val="center"/>
            </w:pPr>
            <w:r>
              <w:rPr>
                <w:noProof/>
              </w:rPr>
              <w:drawing>
                <wp:inline distT="0" distB="0" distL="0" distR="0">
                  <wp:extent cx="92075" cy="146050"/>
                  <wp:effectExtent l="0" t="0" r="0" b="0"/>
                  <wp:docPr id="399" name="Picture 399"/>
                  <wp:cNvGraphicFramePr/>
                  <a:graphic xmlns:a="http://schemas.openxmlformats.org/drawingml/2006/main">
                    <a:graphicData uri="http://schemas.openxmlformats.org/drawingml/2006/picture">
                      <pic:pic xmlns:pic="http://schemas.openxmlformats.org/drawingml/2006/picture">
                        <pic:nvPicPr>
                          <pic:cNvPr id="399" name="Picture 399"/>
                          <pic:cNvPicPr/>
                        </pic:nvPicPr>
                        <pic:blipFill>
                          <a:blip r:embed="rId36"/>
                          <a:stretch>
                            <a:fillRect/>
                          </a:stretch>
                        </pic:blipFill>
                        <pic:spPr>
                          <a:xfrm>
                            <a:off x="0" y="0"/>
                            <a:ext cx="92075" cy="146050"/>
                          </a:xfrm>
                          <a:prstGeom prst="rect">
                            <a:avLst/>
                          </a:prstGeom>
                        </pic:spPr>
                      </pic:pic>
                    </a:graphicData>
                  </a:graphic>
                </wp:inline>
              </w:drawing>
            </w:r>
            <w:r>
              <w:rPr>
                <w:rFonts w:ascii="Arial" w:eastAsia="Arial" w:hAnsi="Arial" w:cs="Arial"/>
                <w:sz w:val="32"/>
              </w:rPr>
              <w:t xml:space="preserve"> </w:t>
            </w:r>
            <w:r>
              <w:rPr>
                <w:sz w:val="32"/>
              </w:rPr>
              <w:t xml:space="preserve">Benefit Coverage Questions </w:t>
            </w:r>
          </w:p>
        </w:tc>
      </w:tr>
    </w:tbl>
    <w:p w:rsidR="00E75746" w:rsidRDefault="005D0F02">
      <w:pPr>
        <w:spacing w:after="54" w:line="259" w:lineRule="auto"/>
        <w:ind w:left="1076" w:right="0" w:firstLine="0"/>
      </w:pPr>
      <w:r>
        <w:t xml:space="preserve"> </w:t>
      </w:r>
    </w:p>
    <w:p w:rsidR="00E75746" w:rsidRDefault="005D0F02">
      <w:pPr>
        <w:spacing w:after="2" w:line="249" w:lineRule="auto"/>
        <w:ind w:left="1647" w:right="434" w:hanging="586"/>
      </w:pPr>
      <w:r>
        <w:rPr>
          <w:b/>
        </w:rPr>
        <w:t>3.1</w:t>
      </w:r>
      <w:r>
        <w:rPr>
          <w:rFonts w:ascii="Arial" w:eastAsia="Arial" w:hAnsi="Arial" w:cs="Arial"/>
          <w:b/>
        </w:rPr>
        <w:t xml:space="preserve"> </w:t>
      </w:r>
      <w:r>
        <w:rPr>
          <w:b/>
        </w:rPr>
        <w:t>Will Anthem cover member out-of-</w:t>
      </w:r>
      <w:r>
        <w:rPr>
          <w:b/>
        </w:rPr>
        <w:t xml:space="preserve">pocket costs for testing and related visits for COVID-19?  </w:t>
      </w:r>
    </w:p>
    <w:p w:rsidR="00E75746" w:rsidRDefault="005D0F02">
      <w:pPr>
        <w:ind w:left="1071" w:right="449"/>
      </w:pPr>
      <w:r>
        <w:t>Out-of-pocket expenses</w:t>
      </w:r>
      <w:r>
        <w:t>—</w:t>
      </w:r>
      <w:r>
        <w:t>inclusive of copays, coinsurance and deductibles for COVID-19</w:t>
      </w:r>
      <w:r>
        <w:t>—</w:t>
      </w:r>
      <w:r>
        <w:t xml:space="preserve">are waived for tests and related visits, including visits to determine if testing is needed.  Test samples may </w:t>
      </w:r>
      <w:r>
        <w:t xml:space="preserve">be obtained in many settings including a </w:t>
      </w:r>
      <w:r>
        <w:t>doctor’s office, urgent care, ER or even drive</w:t>
      </w:r>
      <w:r>
        <w:t xml:space="preserve">-thru testing once available.  While a test sample cannot be </w:t>
      </w:r>
      <w:r>
        <w:lastRenderedPageBreak/>
        <w:t>obtained through a telehealth visit, the telehealth provider can help you get to a provider who can do so. T</w:t>
      </w:r>
      <w:r>
        <w:t xml:space="preserve">he waivers apply to members who have individual, employer-sponsored, Medicare and Medicaid plans.  </w:t>
      </w:r>
    </w:p>
    <w:p w:rsidR="00E75746" w:rsidRDefault="005D0F02">
      <w:pPr>
        <w:spacing w:after="0" w:line="259" w:lineRule="auto"/>
        <w:ind w:left="1076" w:right="0" w:firstLine="0"/>
      </w:pPr>
      <w:r>
        <w:rPr>
          <w:b/>
        </w:rPr>
        <w:t xml:space="preserve"> </w:t>
      </w:r>
    </w:p>
    <w:p w:rsidR="00E75746" w:rsidRDefault="005D0F02">
      <w:pPr>
        <w:ind w:left="1071" w:right="449"/>
      </w:pPr>
      <w:r>
        <w:t>Also, Anthem will waive member cost share for telehealth visits, including visits for behavioral health, for our fully-insured employer, individual, and M</w:t>
      </w:r>
      <w:r>
        <w:t xml:space="preserve">edicare Advantage plans, and where permissible, Medicaid plans. Self-insured plan sponsors will have the choice to participate.  </w:t>
      </w:r>
    </w:p>
    <w:p w:rsidR="00E75746" w:rsidRDefault="005D0F02">
      <w:pPr>
        <w:spacing w:after="0" w:line="259" w:lineRule="auto"/>
        <w:ind w:left="1076" w:right="0" w:firstLine="0"/>
      </w:pPr>
      <w:r>
        <w:t xml:space="preserve"> </w:t>
      </w:r>
    </w:p>
    <w:p w:rsidR="00E75746" w:rsidRDefault="005D0F02">
      <w:pPr>
        <w:ind w:left="1071" w:right="449"/>
      </w:pPr>
      <w:r>
        <w:t xml:space="preserve">Cost sharing will be waived for members using Anthem’s telemedicine service, </w:t>
      </w:r>
      <w:proofErr w:type="spellStart"/>
      <w:r>
        <w:t>LiveHealth</w:t>
      </w:r>
      <w:proofErr w:type="spellEnd"/>
      <w:r>
        <w:t xml:space="preserve"> Online, as well as care received fro</w:t>
      </w:r>
      <w:r>
        <w:t xml:space="preserve">m other providers delivering virtual care will be waived for 90 days, beginning March 17. Co-pays for acute and behavioral telehealth visits for health conditions will be waived.  </w:t>
      </w:r>
    </w:p>
    <w:p w:rsidR="00E75746" w:rsidRDefault="005D0F02">
      <w:pPr>
        <w:spacing w:after="0" w:line="259" w:lineRule="auto"/>
        <w:ind w:left="1076" w:right="0" w:firstLine="0"/>
      </w:pPr>
      <w:r>
        <w:t xml:space="preserve"> </w:t>
      </w:r>
    </w:p>
    <w:p w:rsidR="00E75746" w:rsidRDefault="005D0F02">
      <w:pPr>
        <w:ind w:left="1071" w:right="449"/>
      </w:pPr>
      <w:r>
        <w:t>For additional services, members will pay any out-of-</w:t>
      </w:r>
      <w:r>
        <w:t xml:space="preserve">pocket expenses their plan requires, unless otherwise determined by state law or regulation. Members can call the number on the back of their identification card to confirm </w:t>
      </w:r>
      <w:r>
        <w:lastRenderedPageBreak/>
        <w:t>coverage. Providers should continue to verify eligibility and benefits for all memb</w:t>
      </w:r>
      <w:r>
        <w:t xml:space="preserve">ers prior to rendering services. </w:t>
      </w:r>
    </w:p>
    <w:p w:rsidR="00E75746" w:rsidRDefault="005D0F02">
      <w:pPr>
        <w:spacing w:after="0" w:line="259" w:lineRule="auto"/>
        <w:ind w:left="1076" w:right="0" w:firstLine="0"/>
      </w:pPr>
      <w:r>
        <w:t xml:space="preserve"> </w:t>
      </w:r>
    </w:p>
    <w:p w:rsidR="00E75746" w:rsidRDefault="005D0F02">
      <w:pPr>
        <w:ind w:left="1071" w:right="449"/>
      </w:pPr>
      <w:r>
        <w:t xml:space="preserve">Self-insured plans no longer have the option not to waive out-of-pocket member expenses for the diagnostic test and the visit associated with the test, as laid out in the </w:t>
      </w:r>
      <w:hyperlink r:id="rId37">
        <w:r>
          <w:rPr>
            <w:color w:val="0000FF"/>
            <w:u w:val="single" w:color="0000FF"/>
          </w:rPr>
          <w:t>federal mandate</w:t>
        </w:r>
      </w:hyperlink>
      <w:hyperlink r:id="rId38">
        <w:r>
          <w:t>.</w:t>
        </w:r>
      </w:hyperlink>
      <w:r>
        <w:t xml:space="preserve"> </w:t>
      </w:r>
    </w:p>
    <w:p w:rsidR="00E75746" w:rsidRDefault="005D0F02">
      <w:pPr>
        <w:spacing w:after="54" w:line="259" w:lineRule="auto"/>
        <w:ind w:left="1076" w:right="0" w:firstLine="0"/>
      </w:pPr>
      <w:r>
        <w:t xml:space="preserve"> </w:t>
      </w:r>
    </w:p>
    <w:p w:rsidR="00E75746" w:rsidRDefault="005D0F02">
      <w:pPr>
        <w:spacing w:after="2" w:line="249" w:lineRule="auto"/>
        <w:ind w:left="1647" w:right="434" w:hanging="586"/>
      </w:pPr>
      <w:r>
        <w:rPr>
          <w:b/>
        </w:rPr>
        <w:t>3.2</w:t>
      </w:r>
      <w:r>
        <w:rPr>
          <w:rFonts w:ascii="Arial" w:eastAsia="Arial" w:hAnsi="Arial" w:cs="Arial"/>
          <w:b/>
        </w:rPr>
        <w:t xml:space="preserve"> </w:t>
      </w:r>
      <w:r>
        <w:rPr>
          <w:b/>
        </w:rPr>
        <w:t>Is Anthem waiving out-of-pocket expense</w:t>
      </w:r>
      <w:r>
        <w:rPr>
          <w:b/>
        </w:rPr>
        <w:t xml:space="preserve">s when a member needs health care services from a doctor or a hospital related to COVID-19 that doesn’t involve diagnostic testing? </w:t>
      </w:r>
    </w:p>
    <w:p w:rsidR="00E75746" w:rsidRDefault="005D0F02">
      <w:pPr>
        <w:ind w:left="1071" w:right="449"/>
      </w:pPr>
      <w:r>
        <w:t xml:space="preserve">No, the waiver of out-of-pocket expenses relates to testing and </w:t>
      </w:r>
      <w:r>
        <w:t>visits, including visits to determine if testing is needed, that are related to testing. For care unrelated to COVID-19 test or the visit associated with the test, members will pay any out-of-pocket expenses their plan requires, unless otherwise determined</w:t>
      </w:r>
      <w:r>
        <w:t xml:space="preserve"> by state law or regulation. </w:t>
      </w:r>
    </w:p>
    <w:p w:rsidR="00E75746" w:rsidRDefault="005D0F02">
      <w:pPr>
        <w:spacing w:after="0" w:line="259" w:lineRule="auto"/>
        <w:ind w:left="1076" w:right="0" w:firstLine="0"/>
      </w:pPr>
      <w:r>
        <w:t xml:space="preserve"> </w:t>
      </w:r>
    </w:p>
    <w:p w:rsidR="00E75746" w:rsidRDefault="005D0F02">
      <w:pPr>
        <w:ind w:left="1071" w:right="449"/>
      </w:pPr>
      <w:r>
        <w:t xml:space="preserve">There is an exception.  Anthem will waive any member cost share for telehealth visits, including visits for mental health, for our fully insured employer, individual, Medicare </w:t>
      </w:r>
      <w:r>
        <w:lastRenderedPageBreak/>
        <w:t xml:space="preserve">and Medicaid plans for 90 days as of March 17.  </w:t>
      </w:r>
      <w:r>
        <w:t xml:space="preserve">Cost sharing will be </w:t>
      </w:r>
      <w:r>
        <w:t>waived for members using Anthem’s t</w:t>
      </w:r>
      <w:r>
        <w:t xml:space="preserve">elemedicine service, </w:t>
      </w:r>
      <w:proofErr w:type="spellStart"/>
      <w:r>
        <w:t>LiveHealth</w:t>
      </w:r>
      <w:proofErr w:type="spellEnd"/>
      <w:r>
        <w:t xml:space="preserve"> Online, as well as telehealth received from other in network providers. Self-insured plan sponsors will have the choice to participate.  </w:t>
      </w:r>
    </w:p>
    <w:p w:rsidR="00E75746" w:rsidRDefault="005D0F02">
      <w:pPr>
        <w:spacing w:after="54" w:line="259" w:lineRule="auto"/>
        <w:ind w:left="1076" w:right="0" w:firstLine="0"/>
      </w:pPr>
      <w:r>
        <w:t xml:space="preserve"> </w:t>
      </w:r>
    </w:p>
    <w:p w:rsidR="00E75746" w:rsidRDefault="005D0F02">
      <w:pPr>
        <w:spacing w:after="2" w:line="249" w:lineRule="auto"/>
        <w:ind w:left="1647" w:right="434" w:hanging="586"/>
      </w:pPr>
      <w:r>
        <w:rPr>
          <w:b/>
        </w:rPr>
        <w:t>3.3</w:t>
      </w:r>
      <w:r>
        <w:rPr>
          <w:rFonts w:ascii="Arial" w:eastAsia="Arial" w:hAnsi="Arial" w:cs="Arial"/>
          <w:b/>
        </w:rPr>
        <w:t xml:space="preserve"> </w:t>
      </w:r>
      <w:r>
        <w:rPr>
          <w:b/>
        </w:rPr>
        <w:t xml:space="preserve">Do the waivers apply to </w:t>
      </w:r>
      <w:r>
        <w:rPr>
          <w:b/>
        </w:rPr>
        <w:t xml:space="preserve">out-of-network providers for testing and </w:t>
      </w:r>
      <w:proofErr w:type="spellStart"/>
      <w:r>
        <w:rPr>
          <w:b/>
        </w:rPr>
        <w:t>nontelehealth</w:t>
      </w:r>
      <w:proofErr w:type="spellEnd"/>
      <w:r>
        <w:rPr>
          <w:b/>
        </w:rPr>
        <w:t xml:space="preserve"> visits? </w:t>
      </w:r>
    </w:p>
    <w:p w:rsidR="00E75746" w:rsidRDefault="005D0F02">
      <w:pPr>
        <w:ind w:left="1071" w:right="449"/>
      </w:pPr>
      <w:r>
        <w:t>Out-of-network will be covered for any visits up until the allowed amount. Cost shares will be waived and the out-of-network provider will be paid the allowed amount. If there is balance billi</w:t>
      </w:r>
      <w:r>
        <w:t xml:space="preserve">ng, members can appeal. </w:t>
      </w:r>
    </w:p>
    <w:p w:rsidR="00E75746" w:rsidRDefault="005D0F02">
      <w:pPr>
        <w:spacing w:after="189" w:line="259" w:lineRule="auto"/>
        <w:ind w:left="1076" w:right="0" w:firstLine="0"/>
      </w:pPr>
      <w:r>
        <w:t xml:space="preserve"> </w:t>
      </w:r>
    </w:p>
    <w:p w:rsidR="00E75746" w:rsidRDefault="005D0F02">
      <w:pPr>
        <w:ind w:left="1071" w:right="638"/>
      </w:pPr>
      <w:r>
        <w:rPr>
          <w:b/>
        </w:rPr>
        <w:t>3.4</w:t>
      </w:r>
      <w:r>
        <w:rPr>
          <w:rFonts w:ascii="Arial" w:eastAsia="Arial" w:hAnsi="Arial" w:cs="Arial"/>
          <w:b/>
        </w:rPr>
        <w:t xml:space="preserve"> </w:t>
      </w:r>
      <w:r>
        <w:rPr>
          <w:b/>
        </w:rPr>
        <w:t xml:space="preserve">Will cost shares associated with testing and related services be waived for members enrolled in high-deductible health plans with HSAs? </w:t>
      </w:r>
      <w:r>
        <w:t>Cost shares associated with testing and related services will be waived for members enrol</w:t>
      </w:r>
      <w:r>
        <w:t xml:space="preserve">led in high-deductible health plans (HDHP) with HSAs. Such cost share waivers will not jeopardize the status of the plan as an HDHP based on the recent IRS guidance issued March 11, 2020. We are waiting for guidance </w:t>
      </w:r>
      <w:r>
        <w:lastRenderedPageBreak/>
        <w:t>on any tax impact to members using teleh</w:t>
      </w:r>
      <w:r>
        <w:t>ealth visits unrelated to COVID-19 testing or treatment</w:t>
      </w:r>
      <w:r>
        <w:rPr>
          <w:sz w:val="24"/>
        </w:rPr>
        <w:t xml:space="preserve">. </w:t>
      </w:r>
    </w:p>
    <w:p w:rsidR="00E75746" w:rsidRDefault="005D0F02">
      <w:pPr>
        <w:spacing w:after="97" w:line="259" w:lineRule="auto"/>
        <w:ind w:left="1076" w:right="0" w:firstLine="0"/>
      </w:pPr>
      <w:r>
        <w:rPr>
          <w:sz w:val="24"/>
        </w:rPr>
        <w:t xml:space="preserve"> </w:t>
      </w:r>
    </w:p>
    <w:p w:rsidR="00E75746" w:rsidRDefault="005D0F02">
      <w:pPr>
        <w:spacing w:after="2" w:line="249" w:lineRule="auto"/>
        <w:ind w:left="1647" w:right="434" w:hanging="586"/>
      </w:pPr>
      <w:r>
        <w:rPr>
          <w:b/>
        </w:rPr>
        <w:t>3.5</w:t>
      </w:r>
      <w:r>
        <w:rPr>
          <w:rFonts w:ascii="Arial" w:eastAsia="Arial" w:hAnsi="Arial" w:cs="Arial"/>
          <w:b/>
        </w:rPr>
        <w:t xml:space="preserve"> </w:t>
      </w:r>
      <w:r>
        <w:rPr>
          <w:b/>
        </w:rPr>
        <w:t xml:space="preserve">If a member is treated for COVID-19 outside the United States, will coverage apply and will out-of-pocket waivers apply? </w:t>
      </w:r>
    </w:p>
    <w:p w:rsidR="00E75746" w:rsidRDefault="005D0F02">
      <w:pPr>
        <w:ind w:left="1071" w:right="449"/>
      </w:pPr>
      <w:r>
        <w:t>Yes, a member’s regular coverage would apply for testing and treatment</w:t>
      </w:r>
      <w:r>
        <w:t xml:space="preserve"> of </w:t>
      </w:r>
      <w:r>
        <w:t>COVID-19, just like it does in the United States</w:t>
      </w:r>
      <w:r>
        <w:rPr>
          <w:sz w:val="22"/>
        </w:rPr>
        <w:t xml:space="preserve">. </w:t>
      </w:r>
      <w:r>
        <w:t>Out-of-pocket expenses for the focused test used to diagnose COVID-19 and the visit related to the test will be waived for members</w:t>
      </w:r>
      <w:r>
        <w:t>—</w:t>
      </w:r>
      <w:r>
        <w:t>specifically, individual, Medicare and Medicaid members and other fully</w:t>
      </w:r>
      <w:r>
        <w:t xml:space="preserve">-insured plans. Anthem recommends self-insured customers waive member out-of-pocket costs for the COVID-19 diagnostic test and the related visit. </w:t>
      </w:r>
    </w:p>
    <w:p w:rsidR="00E75746" w:rsidRDefault="005D0F02">
      <w:pPr>
        <w:spacing w:after="59" w:line="259" w:lineRule="auto"/>
        <w:ind w:left="1076" w:right="0" w:firstLine="0"/>
      </w:pPr>
      <w:r>
        <w:t xml:space="preserve"> </w:t>
      </w:r>
    </w:p>
    <w:p w:rsidR="00E75746" w:rsidRDefault="005D0F02">
      <w:pPr>
        <w:spacing w:after="2" w:line="249" w:lineRule="auto"/>
        <w:ind w:left="1647" w:right="434" w:hanging="586"/>
      </w:pPr>
      <w:r>
        <w:rPr>
          <w:b/>
        </w:rPr>
        <w:t>3.6</w:t>
      </w:r>
      <w:r>
        <w:rPr>
          <w:rFonts w:ascii="Arial" w:eastAsia="Arial" w:hAnsi="Arial" w:cs="Arial"/>
          <w:b/>
        </w:rPr>
        <w:t xml:space="preserve"> </w:t>
      </w:r>
      <w:r>
        <w:rPr>
          <w:b/>
        </w:rPr>
        <w:t xml:space="preserve">What diagnosis codes would be appropriate to consider for a patient with known or suspected COVID-19?  </w:t>
      </w:r>
    </w:p>
    <w:p w:rsidR="00E75746" w:rsidRDefault="005D0F02">
      <w:pPr>
        <w:ind w:left="1071" w:right="449"/>
      </w:pPr>
      <w:r>
        <w:t xml:space="preserve">The CDC has provided </w:t>
      </w:r>
      <w:hyperlink r:id="rId39">
        <w:r>
          <w:rPr>
            <w:color w:val="0000FF"/>
            <w:u w:val="single" w:color="0000FF"/>
          </w:rPr>
          <w:t>coding guidelines</w:t>
        </w:r>
      </w:hyperlink>
      <w:hyperlink r:id="rId40">
        <w:r>
          <w:t xml:space="preserve"> </w:t>
        </w:r>
      </w:hyperlink>
      <w:r>
        <w:t xml:space="preserve">related to COVID-19. </w:t>
      </w:r>
      <w:r>
        <w:rPr>
          <w:sz w:val="20"/>
        </w:rPr>
        <w:t xml:space="preserve">  </w:t>
      </w:r>
      <w:r>
        <w:rPr>
          <w:sz w:val="22"/>
        </w:rPr>
        <w:t xml:space="preserve"> </w:t>
      </w:r>
    </w:p>
    <w:p w:rsidR="00E75746" w:rsidRDefault="005D0F02">
      <w:pPr>
        <w:spacing w:after="54" w:line="259" w:lineRule="auto"/>
        <w:ind w:left="1076" w:right="0" w:firstLine="0"/>
      </w:pPr>
      <w:r>
        <w:t xml:space="preserve"> </w:t>
      </w:r>
    </w:p>
    <w:p w:rsidR="00E75746" w:rsidRDefault="005D0F02">
      <w:pPr>
        <w:spacing w:after="2" w:line="249" w:lineRule="auto"/>
        <w:ind w:left="1647" w:right="434" w:hanging="586"/>
      </w:pPr>
      <w:r>
        <w:rPr>
          <w:b/>
        </w:rPr>
        <w:lastRenderedPageBreak/>
        <w:t>3.7</w:t>
      </w:r>
      <w:r>
        <w:rPr>
          <w:rFonts w:ascii="Arial" w:eastAsia="Arial" w:hAnsi="Arial" w:cs="Arial"/>
          <w:b/>
        </w:rPr>
        <w:t xml:space="preserve"> </w:t>
      </w:r>
      <w:r>
        <w:rPr>
          <w:b/>
        </w:rPr>
        <w:t xml:space="preserve">In case of mass epidemic, how can you ensure that your contracted providers can still provide services? </w:t>
      </w:r>
    </w:p>
    <w:p w:rsidR="00E75746" w:rsidRDefault="005D0F02">
      <w:pPr>
        <w:ind w:left="1071" w:right="449"/>
      </w:pPr>
      <w:r>
        <w:t>Anthem is committed to working with and supporting its contracted providers.</w:t>
      </w:r>
      <w:r>
        <w:rPr>
          <w:sz w:val="22"/>
        </w:rPr>
        <w:t xml:space="preserve"> </w:t>
      </w:r>
    </w:p>
    <w:p w:rsidR="00E75746" w:rsidRDefault="005D0F02">
      <w:pPr>
        <w:ind w:left="1071" w:right="449"/>
      </w:pPr>
      <w:r>
        <w:t xml:space="preserve">Our benefits already state that if members do not have appropriate access to network doctors that we will authorize coverage for out-of-network doctors as medically necessary. </w:t>
      </w:r>
    </w:p>
    <w:p w:rsidR="00E75746" w:rsidRDefault="005D0F02">
      <w:pPr>
        <w:spacing w:after="0" w:line="259" w:lineRule="auto"/>
        <w:ind w:left="1076" w:right="0" w:firstLine="0"/>
      </w:pPr>
      <w:r>
        <w:t xml:space="preserve"> </w:t>
      </w:r>
    </w:p>
    <w:p w:rsidR="00E75746" w:rsidRDefault="005D0F02">
      <w:pPr>
        <w:ind w:left="1071" w:right="449"/>
      </w:pPr>
      <w:r>
        <w:t xml:space="preserve">In addition, Anthem’s telehealth provider, </w:t>
      </w:r>
      <w:hyperlink r:id="rId41">
        <w:proofErr w:type="spellStart"/>
        <w:r>
          <w:rPr>
            <w:color w:val="0000FF"/>
            <w:u w:val="single" w:color="0000FF"/>
          </w:rPr>
          <w:t>LiveHealth</w:t>
        </w:r>
        <w:proofErr w:type="spellEnd"/>
        <w:r>
          <w:rPr>
            <w:color w:val="0000FF"/>
            <w:u w:val="single" w:color="0000FF"/>
          </w:rPr>
          <w:t xml:space="preserve"> Online</w:t>
        </w:r>
      </w:hyperlink>
      <w:hyperlink r:id="rId42">
        <w:r>
          <w:t>,</w:t>
        </w:r>
      </w:hyperlink>
      <w:r>
        <w:t xml:space="preserve"> is another safe and effective way for members to see a doctor to receive health guidance related to COVID-19 from their home via mobile device or a computer with a w</w:t>
      </w:r>
      <w:r>
        <w:t xml:space="preserve">ebcam.   </w:t>
      </w:r>
    </w:p>
    <w:p w:rsidR="00E75746" w:rsidRDefault="005D0F02">
      <w:pPr>
        <w:spacing w:after="0" w:line="259" w:lineRule="auto"/>
        <w:ind w:left="1076" w:right="0" w:firstLine="0"/>
      </w:pPr>
      <w:r>
        <w:t xml:space="preserve"> </w:t>
      </w:r>
    </w:p>
    <w:p w:rsidR="00E75746" w:rsidRDefault="005D0F02">
      <w:pPr>
        <w:spacing w:after="54" w:line="259" w:lineRule="auto"/>
        <w:ind w:left="1076" w:right="0" w:firstLine="0"/>
      </w:pPr>
      <w:r>
        <w:rPr>
          <w:b/>
        </w:rPr>
        <w:t xml:space="preserve"> </w:t>
      </w:r>
    </w:p>
    <w:p w:rsidR="00E75746" w:rsidRDefault="005D0F02">
      <w:pPr>
        <w:spacing w:after="2" w:line="249" w:lineRule="auto"/>
        <w:ind w:left="1647" w:right="434" w:hanging="586"/>
      </w:pPr>
      <w:r>
        <w:rPr>
          <w:b/>
        </w:rPr>
        <w:t>3.8</w:t>
      </w:r>
      <w:r>
        <w:rPr>
          <w:rFonts w:ascii="Arial" w:eastAsia="Arial" w:hAnsi="Arial" w:cs="Arial"/>
          <w:b/>
        </w:rPr>
        <w:t xml:space="preserve"> </w:t>
      </w:r>
      <w:r>
        <w:rPr>
          <w:b/>
        </w:rPr>
        <w:t xml:space="preserve">Are you aware of any limitations in coverage for treatment of an illness/virus/disease that is part of an epidemic? </w:t>
      </w:r>
    </w:p>
    <w:p w:rsidR="00E75746" w:rsidRDefault="005D0F02">
      <w:pPr>
        <w:ind w:left="1071" w:right="449"/>
      </w:pPr>
      <w:r>
        <w:t>Our standard contracts do not have exclusions or limitations on coverage for services for the treatment of illnesses that</w:t>
      </w:r>
      <w:r>
        <w:t xml:space="preserve"> result from an epidemic. </w:t>
      </w:r>
    </w:p>
    <w:p w:rsidR="00E75746" w:rsidRDefault="005D0F02">
      <w:pPr>
        <w:spacing w:after="59" w:line="259" w:lineRule="auto"/>
        <w:ind w:left="1076" w:right="0" w:firstLine="0"/>
      </w:pPr>
      <w:r>
        <w:lastRenderedPageBreak/>
        <w:t xml:space="preserve"> </w:t>
      </w:r>
    </w:p>
    <w:p w:rsidR="00E75746" w:rsidRDefault="005D0F02">
      <w:pPr>
        <w:ind w:left="1071" w:right="625"/>
      </w:pPr>
      <w:r>
        <w:rPr>
          <w:b/>
        </w:rPr>
        <w:t>3.9</w:t>
      </w:r>
      <w:r>
        <w:rPr>
          <w:rFonts w:ascii="Arial" w:eastAsia="Arial" w:hAnsi="Arial" w:cs="Arial"/>
          <w:b/>
        </w:rPr>
        <w:t xml:space="preserve"> </w:t>
      </w:r>
      <w:r>
        <w:rPr>
          <w:b/>
        </w:rPr>
        <w:t xml:space="preserve">What is the effective date for the changes in cost-share coverage? </w:t>
      </w:r>
      <w:r>
        <w:t xml:space="preserve">For </w:t>
      </w:r>
      <w:r>
        <w:rPr>
          <w:u w:val="single" w:color="000000"/>
        </w:rPr>
        <w:t>fully-insured customers</w:t>
      </w:r>
      <w:r>
        <w:t xml:space="preserve"> impacted by state level public health emergency mandates, the date will be when the mandate became effective. For </w:t>
      </w:r>
      <w:r>
        <w:rPr>
          <w:u w:val="single" w:color="000000"/>
        </w:rPr>
        <w:t>self-insured</w:t>
      </w:r>
      <w:r>
        <w:t xml:space="preserve"> </w:t>
      </w:r>
      <w:r>
        <w:rPr>
          <w:u w:val="single" w:color="000000"/>
        </w:rPr>
        <w:t>c</w:t>
      </w:r>
      <w:r>
        <w:rPr>
          <w:u w:val="single" w:color="000000"/>
        </w:rPr>
        <w:t>ustomers</w:t>
      </w:r>
      <w:r>
        <w:t xml:space="preserve"> implementing the recommended approach, the effective date will be retroactive to Jan. 1, 2020 to include COVID-19 services that may have occurred before testing became commercially available in March.  </w:t>
      </w:r>
    </w:p>
    <w:p w:rsidR="00E75746" w:rsidRDefault="005D0F02">
      <w:pPr>
        <w:spacing w:after="54" w:line="259" w:lineRule="auto"/>
        <w:ind w:left="1076" w:right="0" w:firstLine="0"/>
      </w:pPr>
      <w:r>
        <w:t xml:space="preserve"> </w:t>
      </w:r>
    </w:p>
    <w:p w:rsidR="00E75746" w:rsidRDefault="005D0F02">
      <w:pPr>
        <w:spacing w:after="2" w:line="249" w:lineRule="auto"/>
        <w:ind w:left="1647" w:right="434" w:hanging="586"/>
      </w:pPr>
      <w:r>
        <w:rPr>
          <w:b/>
        </w:rPr>
        <w:t>3.10</w:t>
      </w:r>
      <w:r>
        <w:rPr>
          <w:rFonts w:ascii="Arial" w:eastAsia="Arial" w:hAnsi="Arial" w:cs="Arial"/>
          <w:b/>
        </w:rPr>
        <w:t xml:space="preserve"> </w:t>
      </w:r>
      <w:r>
        <w:rPr>
          <w:b/>
        </w:rPr>
        <w:t>Are there limitations in coverage for</w:t>
      </w:r>
      <w:r>
        <w:rPr>
          <w:b/>
        </w:rPr>
        <w:t xml:space="preserve"> treatment of an illness/virus/disease that is part of an epidemic in Anthem’s stop-loss policies? </w:t>
      </w:r>
    </w:p>
    <w:p w:rsidR="00E75746" w:rsidRDefault="005D0F02">
      <w:pPr>
        <w:spacing w:after="45"/>
        <w:ind w:left="1071" w:right="654"/>
      </w:pPr>
      <w:r>
        <w:t>Our standard health plan contracts do not have exclusions or limitations on coverage for services for the treatment of illnesses that result from an epidemi</w:t>
      </w:r>
      <w:r>
        <w:t xml:space="preserve">c.  Our stop loss policies do not contain provisions that would limit stop loss protection for these services.   </w:t>
      </w:r>
    </w:p>
    <w:p w:rsidR="00E75746" w:rsidRDefault="005D0F02">
      <w:pPr>
        <w:numPr>
          <w:ilvl w:val="0"/>
          <w:numId w:val="2"/>
        </w:numPr>
        <w:spacing w:after="50"/>
        <w:ind w:right="449" w:hanging="360"/>
      </w:pPr>
      <w:r>
        <w:t xml:space="preserve">If the group chooses to waive member out-of-pocket cost for testing </w:t>
      </w:r>
      <w:r>
        <w:t>consistent with Anthem’s standard approach for its fully insur</w:t>
      </w:r>
      <w:r>
        <w:t xml:space="preserve">ed policies, the additional </w:t>
      </w:r>
      <w:r>
        <w:lastRenderedPageBreak/>
        <w:t xml:space="preserve">plan costs that would result would be covered under the stop loss policy. </w:t>
      </w:r>
    </w:p>
    <w:p w:rsidR="00E75746" w:rsidRDefault="005D0F02">
      <w:pPr>
        <w:numPr>
          <w:ilvl w:val="0"/>
          <w:numId w:val="2"/>
        </w:numPr>
        <w:ind w:right="449" w:hanging="360"/>
      </w:pPr>
      <w:r>
        <w:t>If the group chooses to provide enhanced coverage consistent with state emergency declarations on insurers, such enhanced coverage would be covered under</w:t>
      </w:r>
      <w:r>
        <w:t xml:space="preserve"> the stop loss policy with revised rates. </w:t>
      </w:r>
    </w:p>
    <w:p w:rsidR="00E75746" w:rsidRDefault="005D0F02">
      <w:pPr>
        <w:spacing w:after="161" w:line="259" w:lineRule="auto"/>
        <w:ind w:left="1076" w:right="0" w:firstLine="0"/>
      </w:pPr>
      <w:r>
        <w:t xml:space="preserve"> </w:t>
      </w:r>
    </w:p>
    <w:p w:rsidR="00E75746" w:rsidRDefault="005D0F02">
      <w:pPr>
        <w:spacing w:after="0" w:line="259" w:lineRule="auto"/>
        <w:ind w:left="1076" w:right="0" w:firstLine="0"/>
      </w:pPr>
      <w:r>
        <w:t xml:space="preserve"> </w:t>
      </w:r>
    </w:p>
    <w:tbl>
      <w:tblPr>
        <w:tblStyle w:val="TableGrid"/>
        <w:tblW w:w="9592" w:type="dxa"/>
        <w:tblInd w:w="962" w:type="dxa"/>
        <w:tblCellMar>
          <w:top w:w="86" w:type="dxa"/>
          <w:left w:w="115" w:type="dxa"/>
          <w:bottom w:w="0" w:type="dxa"/>
          <w:right w:w="115" w:type="dxa"/>
        </w:tblCellMar>
        <w:tblLook w:val="04A0" w:firstRow="1" w:lastRow="0" w:firstColumn="1" w:lastColumn="0" w:noHBand="0" w:noVBand="1"/>
      </w:tblPr>
      <w:tblGrid>
        <w:gridCol w:w="9592"/>
      </w:tblGrid>
      <w:tr w:rsidR="00E75746">
        <w:trPr>
          <w:trHeight w:val="438"/>
        </w:trPr>
        <w:tc>
          <w:tcPr>
            <w:tcW w:w="9592" w:type="dxa"/>
            <w:tcBorders>
              <w:top w:val="single" w:sz="4" w:space="0" w:color="000000"/>
              <w:left w:val="single" w:sz="4" w:space="0" w:color="000000"/>
              <w:bottom w:val="single" w:sz="4" w:space="0" w:color="000000"/>
              <w:right w:val="single" w:sz="4" w:space="0" w:color="000000"/>
            </w:tcBorders>
            <w:shd w:val="clear" w:color="auto" w:fill="D9D9D9"/>
          </w:tcPr>
          <w:p w:rsidR="00E75746" w:rsidRDefault="005D0F02">
            <w:pPr>
              <w:spacing w:after="0" w:line="259" w:lineRule="auto"/>
              <w:ind w:left="0" w:right="4" w:firstLine="0"/>
              <w:jc w:val="center"/>
            </w:pPr>
            <w:r>
              <w:rPr>
                <w:noProof/>
              </w:rPr>
              <w:drawing>
                <wp:inline distT="0" distB="0" distL="0" distR="0">
                  <wp:extent cx="107950" cy="146050"/>
                  <wp:effectExtent l="0" t="0" r="0" b="0"/>
                  <wp:docPr id="880" name="Picture 880"/>
                  <wp:cNvGraphicFramePr/>
                  <a:graphic xmlns:a="http://schemas.openxmlformats.org/drawingml/2006/main">
                    <a:graphicData uri="http://schemas.openxmlformats.org/drawingml/2006/picture">
                      <pic:pic xmlns:pic="http://schemas.openxmlformats.org/drawingml/2006/picture">
                        <pic:nvPicPr>
                          <pic:cNvPr id="880" name="Picture 880"/>
                          <pic:cNvPicPr/>
                        </pic:nvPicPr>
                        <pic:blipFill>
                          <a:blip r:embed="rId43"/>
                          <a:stretch>
                            <a:fillRect/>
                          </a:stretch>
                        </pic:blipFill>
                        <pic:spPr>
                          <a:xfrm>
                            <a:off x="0" y="0"/>
                            <a:ext cx="107950" cy="146050"/>
                          </a:xfrm>
                          <a:prstGeom prst="rect">
                            <a:avLst/>
                          </a:prstGeom>
                        </pic:spPr>
                      </pic:pic>
                    </a:graphicData>
                  </a:graphic>
                </wp:inline>
              </w:drawing>
            </w:r>
            <w:r>
              <w:rPr>
                <w:rFonts w:ascii="Arial" w:eastAsia="Arial" w:hAnsi="Arial" w:cs="Arial"/>
                <w:sz w:val="32"/>
              </w:rPr>
              <w:t xml:space="preserve"> </w:t>
            </w:r>
            <w:r>
              <w:rPr>
                <w:sz w:val="32"/>
              </w:rPr>
              <w:t xml:space="preserve">Pharmacy </w:t>
            </w:r>
          </w:p>
        </w:tc>
      </w:tr>
    </w:tbl>
    <w:p w:rsidR="00E75746" w:rsidRDefault="005D0F02">
      <w:pPr>
        <w:spacing w:after="54" w:line="259" w:lineRule="auto"/>
        <w:ind w:left="1076" w:right="0" w:firstLine="0"/>
      </w:pPr>
      <w:r>
        <w:t xml:space="preserve"> </w:t>
      </w:r>
    </w:p>
    <w:p w:rsidR="00E75746" w:rsidRDefault="005D0F02">
      <w:pPr>
        <w:spacing w:after="50" w:line="249" w:lineRule="auto"/>
        <w:ind w:left="1647" w:right="434" w:hanging="586"/>
      </w:pPr>
      <w:r>
        <w:rPr>
          <w:b/>
        </w:rPr>
        <w:t>4.1</w:t>
      </w:r>
      <w:r>
        <w:rPr>
          <w:rFonts w:ascii="Arial" w:eastAsia="Arial" w:hAnsi="Arial" w:cs="Arial"/>
          <w:b/>
        </w:rPr>
        <w:t xml:space="preserve"> </w:t>
      </w:r>
      <w:r>
        <w:rPr>
          <w:b/>
        </w:rPr>
        <w:t xml:space="preserve">What is </w:t>
      </w:r>
      <w:proofErr w:type="spellStart"/>
      <w:r>
        <w:rPr>
          <w:b/>
        </w:rPr>
        <w:t>IngenioRx</w:t>
      </w:r>
      <w:proofErr w:type="spellEnd"/>
      <w:r>
        <w:rPr>
          <w:b/>
        </w:rPr>
        <w:t xml:space="preserve"> doing to address potential drug shortages related to the current COVID-19 outbreak? </w:t>
      </w:r>
    </w:p>
    <w:p w:rsidR="00E75746" w:rsidRDefault="005D0F02">
      <w:pPr>
        <w:numPr>
          <w:ilvl w:val="0"/>
          <w:numId w:val="2"/>
        </w:numPr>
        <w:spacing w:after="70"/>
        <w:ind w:right="449" w:hanging="360"/>
      </w:pPr>
      <w:proofErr w:type="spellStart"/>
      <w:r>
        <w:t>IngenioRx</w:t>
      </w:r>
      <w:proofErr w:type="spellEnd"/>
      <w:r>
        <w:t xml:space="preserve"> is </w:t>
      </w:r>
      <w:r>
        <w:t>carefully monitoring the global drug supply for any disruptions related to COVID-19 and, at the present time we have not identified any disruptions that would affect members</w:t>
      </w:r>
      <w:r>
        <w:t>’</w:t>
      </w:r>
      <w:r>
        <w:t xml:space="preserve"> abilities to fill their prescriptions through either our mail order facility or o</w:t>
      </w:r>
      <w:r>
        <w:t xml:space="preserve">ur retail networks.  </w:t>
      </w:r>
    </w:p>
    <w:p w:rsidR="00E75746" w:rsidRDefault="005D0F02">
      <w:pPr>
        <w:numPr>
          <w:ilvl w:val="0"/>
          <w:numId w:val="2"/>
        </w:numPr>
        <w:spacing w:after="48"/>
        <w:ind w:right="449" w:hanging="360"/>
      </w:pPr>
      <w:r>
        <w:t xml:space="preserve">Additionally, the Food and Drug Administration is closely monitoring medications for any potential supply chain disruptions. </w:t>
      </w:r>
    </w:p>
    <w:p w:rsidR="00E75746" w:rsidRDefault="005D0F02">
      <w:pPr>
        <w:spacing w:after="70"/>
        <w:ind w:left="2516" w:right="449" w:hanging="360"/>
      </w:pPr>
      <w:proofErr w:type="gramStart"/>
      <w:r>
        <w:rPr>
          <w:rFonts w:ascii="Courier New" w:eastAsia="Courier New" w:hAnsi="Courier New" w:cs="Courier New"/>
        </w:rPr>
        <w:lastRenderedPageBreak/>
        <w:t>o</w:t>
      </w:r>
      <w:proofErr w:type="gramEnd"/>
      <w:r>
        <w:rPr>
          <w:rFonts w:ascii="Arial" w:eastAsia="Arial" w:hAnsi="Arial" w:cs="Arial"/>
        </w:rPr>
        <w:t xml:space="preserve"> </w:t>
      </w:r>
      <w:r>
        <w:t>The FDA has indicated that it has received notice from a drug manufacturer that production of one drug has</w:t>
      </w:r>
      <w:r>
        <w:t xml:space="preserve"> been impacted but the name of the drug has not been released. The FDA has been clear that there are several therapeutic alternatives for this drug that have not been impacted.  </w:t>
      </w:r>
    </w:p>
    <w:p w:rsidR="00E75746" w:rsidRDefault="005D0F02">
      <w:pPr>
        <w:numPr>
          <w:ilvl w:val="0"/>
          <w:numId w:val="2"/>
        </w:numPr>
        <w:ind w:right="449" w:hanging="360"/>
      </w:pPr>
      <w:r>
        <w:t>Given the evolving nature of the outbreak, we will continue to monitor the si</w:t>
      </w:r>
      <w:r>
        <w:t xml:space="preserve">tuation and will work to address issues as they arise. </w:t>
      </w:r>
    </w:p>
    <w:p w:rsidR="00E75746" w:rsidRDefault="005D0F02">
      <w:pPr>
        <w:spacing w:after="0" w:line="259" w:lineRule="auto"/>
        <w:ind w:left="1796" w:right="0" w:firstLine="0"/>
      </w:pPr>
      <w:r>
        <w:t xml:space="preserve"> </w:t>
      </w:r>
    </w:p>
    <w:tbl>
      <w:tblPr>
        <w:tblStyle w:val="TableGrid"/>
        <w:tblW w:w="9592" w:type="dxa"/>
        <w:tblInd w:w="962" w:type="dxa"/>
        <w:tblCellMar>
          <w:top w:w="88" w:type="dxa"/>
          <w:left w:w="115" w:type="dxa"/>
          <w:bottom w:w="0" w:type="dxa"/>
          <w:right w:w="115" w:type="dxa"/>
        </w:tblCellMar>
        <w:tblLook w:val="04A0" w:firstRow="1" w:lastRow="0" w:firstColumn="1" w:lastColumn="0" w:noHBand="0" w:noVBand="1"/>
      </w:tblPr>
      <w:tblGrid>
        <w:gridCol w:w="9592"/>
      </w:tblGrid>
      <w:tr w:rsidR="00E75746">
        <w:trPr>
          <w:trHeight w:val="438"/>
        </w:trPr>
        <w:tc>
          <w:tcPr>
            <w:tcW w:w="9592" w:type="dxa"/>
            <w:tcBorders>
              <w:top w:val="single" w:sz="4" w:space="0" w:color="000000"/>
              <w:left w:val="single" w:sz="4" w:space="0" w:color="000000"/>
              <w:bottom w:val="single" w:sz="4" w:space="0" w:color="000000"/>
              <w:right w:val="single" w:sz="4" w:space="0" w:color="000000"/>
            </w:tcBorders>
            <w:shd w:val="clear" w:color="auto" w:fill="D9D9D9"/>
          </w:tcPr>
          <w:p w:rsidR="00E75746" w:rsidRDefault="005D0F02">
            <w:pPr>
              <w:spacing w:after="0" w:line="259" w:lineRule="auto"/>
              <w:ind w:left="0" w:right="7" w:firstLine="0"/>
              <w:jc w:val="center"/>
            </w:pPr>
            <w:r>
              <w:rPr>
                <w:noProof/>
              </w:rPr>
              <w:drawing>
                <wp:inline distT="0" distB="0" distL="0" distR="0">
                  <wp:extent cx="95250" cy="146050"/>
                  <wp:effectExtent l="0" t="0" r="0" b="0"/>
                  <wp:docPr id="951" name="Picture 951"/>
                  <wp:cNvGraphicFramePr/>
                  <a:graphic xmlns:a="http://schemas.openxmlformats.org/drawingml/2006/main">
                    <a:graphicData uri="http://schemas.openxmlformats.org/drawingml/2006/picture">
                      <pic:pic xmlns:pic="http://schemas.openxmlformats.org/drawingml/2006/picture">
                        <pic:nvPicPr>
                          <pic:cNvPr id="951" name="Picture 951"/>
                          <pic:cNvPicPr/>
                        </pic:nvPicPr>
                        <pic:blipFill>
                          <a:blip r:embed="rId44"/>
                          <a:stretch>
                            <a:fillRect/>
                          </a:stretch>
                        </pic:blipFill>
                        <pic:spPr>
                          <a:xfrm>
                            <a:off x="0" y="0"/>
                            <a:ext cx="95250" cy="146050"/>
                          </a:xfrm>
                          <a:prstGeom prst="rect">
                            <a:avLst/>
                          </a:prstGeom>
                        </pic:spPr>
                      </pic:pic>
                    </a:graphicData>
                  </a:graphic>
                </wp:inline>
              </w:drawing>
            </w:r>
            <w:r>
              <w:rPr>
                <w:rFonts w:ascii="Arial" w:eastAsia="Arial" w:hAnsi="Arial" w:cs="Arial"/>
                <w:sz w:val="32"/>
              </w:rPr>
              <w:t xml:space="preserve"> </w:t>
            </w:r>
            <w:r>
              <w:rPr>
                <w:sz w:val="32"/>
              </w:rPr>
              <w:t xml:space="preserve">Telehealth, Sydney Care and 24/7 </w:t>
            </w:r>
            <w:proofErr w:type="spellStart"/>
            <w:r>
              <w:rPr>
                <w:sz w:val="32"/>
              </w:rPr>
              <w:t>NurseLine</w:t>
            </w:r>
            <w:proofErr w:type="spellEnd"/>
            <w:r>
              <w:rPr>
                <w:sz w:val="32"/>
              </w:rPr>
              <w:t xml:space="preserve"> </w:t>
            </w:r>
          </w:p>
        </w:tc>
      </w:tr>
    </w:tbl>
    <w:p w:rsidR="00E75746" w:rsidRDefault="005D0F02">
      <w:pPr>
        <w:spacing w:after="52" w:line="259" w:lineRule="auto"/>
        <w:ind w:left="1076" w:right="0" w:firstLine="0"/>
      </w:pPr>
      <w:r>
        <w:t xml:space="preserve"> </w:t>
      </w:r>
    </w:p>
    <w:p w:rsidR="00E75746" w:rsidRDefault="005D0F02">
      <w:pPr>
        <w:spacing w:after="72" w:line="249" w:lineRule="auto"/>
        <w:ind w:left="1061" w:right="434" w:firstLine="0"/>
      </w:pPr>
      <w:r>
        <w:rPr>
          <w:b/>
        </w:rPr>
        <w:t>5.1</w:t>
      </w:r>
      <w:r>
        <w:rPr>
          <w:rFonts w:ascii="Arial" w:eastAsia="Arial" w:hAnsi="Arial" w:cs="Arial"/>
          <w:b/>
        </w:rPr>
        <w:t xml:space="preserve"> </w:t>
      </w:r>
      <w:r>
        <w:rPr>
          <w:b/>
        </w:rPr>
        <w:t xml:space="preserve">Telehealth </w:t>
      </w:r>
    </w:p>
    <w:p w:rsidR="00E75746" w:rsidRDefault="005D0F02">
      <w:pPr>
        <w:numPr>
          <w:ilvl w:val="2"/>
          <w:numId w:val="3"/>
        </w:numPr>
        <w:spacing w:after="2" w:line="249" w:lineRule="auto"/>
        <w:ind w:left="1782" w:right="434" w:hanging="721"/>
      </w:pPr>
      <w:r>
        <w:rPr>
          <w:b/>
        </w:rPr>
        <w:t xml:space="preserve">Is Anthem encouraging broader use of telehealth assuming the virus spreads? </w:t>
      </w:r>
    </w:p>
    <w:p w:rsidR="00E75746" w:rsidRDefault="005D0F02">
      <w:pPr>
        <w:ind w:left="1071" w:right="449"/>
      </w:pPr>
      <w:r>
        <w:t xml:space="preserve">We are recommending members use telehealth when they can as it reduces the burden on the healthcare system, prevents members from spreading a virus and can help protect them from getting a virus while waiting with others at a physical facility.  </w:t>
      </w:r>
    </w:p>
    <w:p w:rsidR="00E75746" w:rsidRDefault="005D0F02">
      <w:pPr>
        <w:spacing w:after="0" w:line="259" w:lineRule="auto"/>
        <w:ind w:left="1076" w:right="0" w:firstLine="0"/>
      </w:pPr>
      <w:r>
        <w:t xml:space="preserve"> </w:t>
      </w:r>
    </w:p>
    <w:p w:rsidR="00E75746" w:rsidRDefault="005D0F02">
      <w:pPr>
        <w:ind w:left="1071" w:right="449"/>
      </w:pPr>
      <w:r>
        <w:lastRenderedPageBreak/>
        <w:t>We also</w:t>
      </w:r>
      <w:r>
        <w:t xml:space="preserve"> encourage members to access our </w:t>
      </w:r>
      <w:proofErr w:type="spellStart"/>
      <w:r>
        <w:t>SydneyCare</w:t>
      </w:r>
      <w:proofErr w:type="spellEnd"/>
      <w:r>
        <w:t xml:space="preserve"> app at no cost. The app includes a </w:t>
      </w:r>
      <w:r>
        <w:rPr>
          <w:i/>
        </w:rPr>
        <w:t xml:space="preserve">Coronavirus </w:t>
      </w:r>
      <w:proofErr w:type="gramStart"/>
      <w:r>
        <w:rPr>
          <w:i/>
        </w:rPr>
        <w:t xml:space="preserve">Assessment, </w:t>
      </w:r>
      <w:r>
        <w:t>that</w:t>
      </w:r>
      <w:proofErr w:type="gramEnd"/>
      <w:r>
        <w:t xml:space="preserve"> can help members quickly and safely evaluate their symptoms and assess their risk and then communicate with a doctor to address additional questions</w:t>
      </w:r>
      <w:r>
        <w:t xml:space="preserve">. Members can download the Sydney Care app on Android or </w:t>
      </w:r>
      <w:proofErr w:type="spellStart"/>
      <w:r>
        <w:t>iOs</w:t>
      </w:r>
      <w:proofErr w:type="spellEnd"/>
      <w:r>
        <w:t xml:space="preserve">. </w:t>
      </w:r>
    </w:p>
    <w:p w:rsidR="00E75746" w:rsidRDefault="005D0F02">
      <w:pPr>
        <w:spacing w:after="0" w:line="259" w:lineRule="auto"/>
        <w:ind w:left="1076" w:right="0" w:firstLine="0"/>
      </w:pPr>
      <w:r>
        <w:t xml:space="preserve"> </w:t>
      </w:r>
    </w:p>
    <w:p w:rsidR="00E75746" w:rsidRDefault="005D0F02">
      <w:pPr>
        <w:numPr>
          <w:ilvl w:val="2"/>
          <w:numId w:val="3"/>
        </w:numPr>
        <w:spacing w:after="0" w:line="249" w:lineRule="auto"/>
        <w:ind w:left="1782" w:right="434" w:hanging="721"/>
      </w:pPr>
      <w:r>
        <w:rPr>
          <w:b/>
        </w:rPr>
        <w:t xml:space="preserve">Is Anthem’s vendor, </w:t>
      </w:r>
      <w:proofErr w:type="spellStart"/>
      <w:r>
        <w:rPr>
          <w:b/>
        </w:rPr>
        <w:t>LiveHealth</w:t>
      </w:r>
      <w:proofErr w:type="spellEnd"/>
      <w:r>
        <w:rPr>
          <w:b/>
        </w:rPr>
        <w:t xml:space="preserve"> Online, prepared for the number of visits that will increase to telehealth? </w:t>
      </w:r>
    </w:p>
    <w:p w:rsidR="00E75746" w:rsidRDefault="005D0F02">
      <w:pPr>
        <w:ind w:left="1071" w:right="449"/>
      </w:pPr>
      <w:r>
        <w:t>As there is a heightened awareness of COVID-</w:t>
      </w:r>
      <w:r>
        <w:t xml:space="preserve">19 and more cases are being diagnosed in the United States, </w:t>
      </w:r>
      <w:proofErr w:type="spellStart"/>
      <w:r>
        <w:t>LiveHealth</w:t>
      </w:r>
      <w:proofErr w:type="spellEnd"/>
      <w:r>
        <w:t xml:space="preserve"> Online is increasing physician availability and stands ready to have doctors available to see the increase in patients, while maintaining reasonable wait times.  They have added a call </w:t>
      </w:r>
      <w:r>
        <w:t xml:space="preserve">back function available at peak hours? </w:t>
      </w:r>
    </w:p>
    <w:p w:rsidR="00E75746" w:rsidRDefault="005D0F02">
      <w:pPr>
        <w:spacing w:after="54" w:line="259" w:lineRule="auto"/>
        <w:ind w:left="1076" w:right="0" w:firstLine="0"/>
      </w:pPr>
      <w:r>
        <w:t xml:space="preserve"> </w:t>
      </w:r>
    </w:p>
    <w:p w:rsidR="00E75746" w:rsidRDefault="005D0F02">
      <w:pPr>
        <w:numPr>
          <w:ilvl w:val="2"/>
          <w:numId w:val="3"/>
        </w:numPr>
        <w:spacing w:after="2" w:line="249" w:lineRule="auto"/>
        <w:ind w:left="1782" w:right="434" w:hanging="721"/>
      </w:pPr>
      <w:r>
        <w:rPr>
          <w:b/>
        </w:rPr>
        <w:t xml:space="preserve">Why is telehealth a good option to receive individual health guidance related to COVID-19? </w:t>
      </w:r>
    </w:p>
    <w:p w:rsidR="00E75746" w:rsidRDefault="005D0F02">
      <w:pPr>
        <w:ind w:left="1071" w:right="449"/>
      </w:pPr>
      <w:r>
        <w:t>We are recommending members use telehealth when they can as it prevents them from spreading a virus to others in a waiting</w:t>
      </w:r>
      <w:r>
        <w:t xml:space="preserve"> room or clinic and can help protect them from </w:t>
      </w:r>
      <w:r>
        <w:lastRenderedPageBreak/>
        <w:t xml:space="preserve">getting a virus while waiting with others at a physical facility. </w:t>
      </w:r>
    </w:p>
    <w:p w:rsidR="00E75746" w:rsidRDefault="005D0F02">
      <w:pPr>
        <w:spacing w:after="0" w:line="259" w:lineRule="auto"/>
        <w:ind w:left="1076" w:right="0" w:firstLine="0"/>
      </w:pPr>
      <w:r>
        <w:t xml:space="preserve"> </w:t>
      </w:r>
    </w:p>
    <w:p w:rsidR="00E75746" w:rsidRDefault="005D0F02">
      <w:pPr>
        <w:ind w:left="1071" w:right="449"/>
      </w:pPr>
      <w:proofErr w:type="spellStart"/>
      <w:r>
        <w:t>LiveHealth</w:t>
      </w:r>
      <w:proofErr w:type="spellEnd"/>
      <w:r>
        <w:t xml:space="preserve"> Online is a safe and helpful way use Anthem benefits to see a doctor to receive health guidance related to COVID-19 without leavi</w:t>
      </w:r>
      <w:r>
        <w:t xml:space="preserve">ng home, using your smart phone, tablet or computer-enabled web cam.   </w:t>
      </w:r>
    </w:p>
    <w:p w:rsidR="00E75746" w:rsidRDefault="005D0F02">
      <w:pPr>
        <w:spacing w:after="0" w:line="259" w:lineRule="auto"/>
        <w:ind w:left="1076" w:right="0" w:firstLine="0"/>
      </w:pPr>
      <w:r>
        <w:t xml:space="preserve"> </w:t>
      </w:r>
    </w:p>
    <w:p w:rsidR="00E75746" w:rsidRDefault="005D0F02">
      <w:pPr>
        <w:ind w:left="1071" w:right="449"/>
      </w:pPr>
      <w:r>
        <w:t>While COVID-</w:t>
      </w:r>
      <w:r>
        <w:t xml:space="preserve">19 can’t be confirmed through virtual or remote care, care teams </w:t>
      </w:r>
      <w:r>
        <w:t>can screen members, assign risk, answer questions and recommend the next steps a member should take. Pati</w:t>
      </w:r>
      <w:r>
        <w:t xml:space="preserve">ents with COVID-19 who are at low risk are treated in the home unless they are sick enough to require in-person care.  </w:t>
      </w:r>
    </w:p>
    <w:p w:rsidR="00E75746" w:rsidRDefault="005D0F02">
      <w:pPr>
        <w:spacing w:after="54" w:line="259" w:lineRule="auto"/>
        <w:ind w:left="1076" w:right="0" w:firstLine="0"/>
      </w:pPr>
      <w:r>
        <w:t xml:space="preserve"> </w:t>
      </w:r>
    </w:p>
    <w:p w:rsidR="00E75746" w:rsidRDefault="005D0F02">
      <w:pPr>
        <w:numPr>
          <w:ilvl w:val="2"/>
          <w:numId w:val="3"/>
        </w:numPr>
        <w:spacing w:after="2" w:line="249" w:lineRule="auto"/>
        <w:ind w:left="1782" w:right="434" w:hanging="721"/>
      </w:pPr>
      <w:r>
        <w:rPr>
          <w:b/>
        </w:rPr>
        <w:t xml:space="preserve">Is Anthem waiving member copays associated with </w:t>
      </w:r>
      <w:proofErr w:type="spellStart"/>
      <w:r>
        <w:rPr>
          <w:b/>
        </w:rPr>
        <w:t>LiveHealth</w:t>
      </w:r>
      <w:proofErr w:type="spellEnd"/>
      <w:r>
        <w:rPr>
          <w:b/>
        </w:rPr>
        <w:t xml:space="preserve"> Online and other telehealth visits for COVID-19? </w:t>
      </w:r>
    </w:p>
    <w:p w:rsidR="00E75746" w:rsidRDefault="005D0F02">
      <w:pPr>
        <w:ind w:left="1071" w:right="449"/>
      </w:pPr>
      <w:r>
        <w:t xml:space="preserve">Anthem will waive member cost share for telehealth visits, including visits for mental health, for our fully-insured employer, individual, and Medicare Advantage plans, and </w:t>
      </w:r>
      <w:r>
        <w:lastRenderedPageBreak/>
        <w:t>where permissible, Medicaid plans for 90 days, beginning March 17 and ending June 1</w:t>
      </w:r>
      <w:r>
        <w:t xml:space="preserve">4. </w:t>
      </w:r>
    </w:p>
    <w:p w:rsidR="00E75746" w:rsidRDefault="005D0F02">
      <w:pPr>
        <w:spacing w:after="0" w:line="259" w:lineRule="auto"/>
        <w:ind w:left="1076" w:right="0" w:firstLine="0"/>
      </w:pPr>
      <w:r>
        <w:t xml:space="preserve"> </w:t>
      </w:r>
    </w:p>
    <w:p w:rsidR="00E75746" w:rsidRDefault="005D0F02">
      <w:pPr>
        <w:ind w:left="1071" w:right="449"/>
      </w:pPr>
      <w:r>
        <w:t xml:space="preserve">Cost sharing will be waived for members using Anthem’s </w:t>
      </w:r>
      <w:r>
        <w:t xml:space="preserve">telemedicine service, </w:t>
      </w:r>
      <w:proofErr w:type="spellStart"/>
      <w:r>
        <w:t>LiveHealth</w:t>
      </w:r>
      <w:proofErr w:type="spellEnd"/>
      <w:r>
        <w:t xml:space="preserve"> Online, as well as care received from other providers delivering virtual care. Co-pays for physical and behavioral telehealth visits for health conditions will be</w:t>
      </w:r>
      <w:r>
        <w:t xml:space="preserve"> waived. Self-insured plan sponsors will have the choice to participate.  </w:t>
      </w:r>
    </w:p>
    <w:p w:rsidR="00E75746" w:rsidRDefault="005D0F02">
      <w:pPr>
        <w:spacing w:after="0" w:line="259" w:lineRule="auto"/>
        <w:ind w:left="1076" w:right="0" w:firstLine="0"/>
      </w:pPr>
      <w:r>
        <w:t xml:space="preserve"> </w:t>
      </w:r>
    </w:p>
    <w:p w:rsidR="00E75746" w:rsidRDefault="005D0F02">
      <w:pPr>
        <w:numPr>
          <w:ilvl w:val="2"/>
          <w:numId w:val="3"/>
        </w:numPr>
        <w:spacing w:after="2" w:line="249" w:lineRule="auto"/>
        <w:ind w:left="1782" w:right="434" w:hanging="721"/>
      </w:pPr>
      <w:r>
        <w:rPr>
          <w:b/>
        </w:rPr>
        <w:t xml:space="preserve">Can members get their out-of-pocket expenses waived to see their own doctor via telehealth? </w:t>
      </w:r>
    </w:p>
    <w:p w:rsidR="00E75746" w:rsidRDefault="005D0F02">
      <w:pPr>
        <w:ind w:left="1071" w:right="449"/>
      </w:pPr>
      <w:r>
        <w:t>Members can get their out-of-pocket expenses waived for COVID-19 visits if their docto</w:t>
      </w:r>
      <w:r>
        <w:t>r uses a telehealth platform.  They also can get them waived for other care needs for 90 days beginning March 17</w:t>
      </w:r>
      <w:r>
        <w:rPr>
          <w:vertAlign w:val="superscript"/>
        </w:rPr>
        <w:t>th</w:t>
      </w:r>
      <w:r>
        <w:t xml:space="preserve">.   </w:t>
      </w:r>
    </w:p>
    <w:p w:rsidR="00E75746" w:rsidRDefault="005D0F02">
      <w:pPr>
        <w:spacing w:after="54" w:line="259" w:lineRule="auto"/>
        <w:ind w:left="1076" w:right="0" w:firstLine="0"/>
      </w:pPr>
      <w:r>
        <w:t xml:space="preserve"> </w:t>
      </w:r>
    </w:p>
    <w:p w:rsidR="00E75746" w:rsidRDefault="005D0F02">
      <w:pPr>
        <w:numPr>
          <w:ilvl w:val="2"/>
          <w:numId w:val="3"/>
        </w:numPr>
        <w:ind w:left="1782" w:right="434" w:hanging="721"/>
      </w:pPr>
      <w:r>
        <w:rPr>
          <w:b/>
        </w:rPr>
        <w:t xml:space="preserve">Are there tax implications for members with HSA and certain </w:t>
      </w:r>
      <w:proofErr w:type="spellStart"/>
      <w:r>
        <w:rPr>
          <w:b/>
        </w:rPr>
        <w:t>highdeductible</w:t>
      </w:r>
      <w:proofErr w:type="spellEnd"/>
      <w:r>
        <w:rPr>
          <w:b/>
        </w:rPr>
        <w:t xml:space="preserve"> plans who get their copays waived for a telehealth visit?  </w:t>
      </w:r>
      <w:r>
        <w:t>I</w:t>
      </w:r>
      <w:r>
        <w:t>RS released guidance on March 11, 2020 that allows employers to waive out-</w:t>
      </w:r>
      <w:proofErr w:type="spellStart"/>
      <w:r>
        <w:t>ofpocket</w:t>
      </w:r>
      <w:proofErr w:type="spellEnd"/>
      <w:r>
        <w:t xml:space="preserve"> costs for COVID-19 testing and </w:t>
      </w:r>
      <w:r>
        <w:lastRenderedPageBreak/>
        <w:t xml:space="preserve">related services for members enrolled in HSA/high deductible health plans without tax implications to members. We are still awaiting guidance </w:t>
      </w:r>
      <w:r>
        <w:t xml:space="preserve">related to telehealth visits unrelated to COVID-19 during the 90-day period. </w:t>
      </w:r>
    </w:p>
    <w:p w:rsidR="00E75746" w:rsidRDefault="005D0F02">
      <w:pPr>
        <w:spacing w:after="54" w:line="259" w:lineRule="auto"/>
        <w:ind w:left="1076" w:right="0" w:firstLine="0"/>
      </w:pPr>
      <w:r>
        <w:t xml:space="preserve"> </w:t>
      </w:r>
    </w:p>
    <w:p w:rsidR="00E75746" w:rsidRDefault="005D0F02">
      <w:pPr>
        <w:numPr>
          <w:ilvl w:val="2"/>
          <w:numId w:val="3"/>
        </w:numPr>
        <w:spacing w:after="2" w:line="249" w:lineRule="auto"/>
        <w:ind w:left="1782" w:right="434" w:hanging="721"/>
      </w:pPr>
      <w:r>
        <w:rPr>
          <w:b/>
        </w:rPr>
        <w:t xml:space="preserve">Are out-of-pocket costs waived for Anthem members who have a telehealth provider other than </w:t>
      </w:r>
      <w:proofErr w:type="spellStart"/>
      <w:r>
        <w:rPr>
          <w:b/>
        </w:rPr>
        <w:t>LiveHealth</w:t>
      </w:r>
      <w:proofErr w:type="spellEnd"/>
      <w:r>
        <w:rPr>
          <w:b/>
        </w:rPr>
        <w:t xml:space="preserve"> Online? </w:t>
      </w:r>
    </w:p>
    <w:p w:rsidR="00E75746" w:rsidRDefault="005D0F02">
      <w:pPr>
        <w:ind w:left="1071" w:right="449"/>
      </w:pPr>
      <w:r>
        <w:t xml:space="preserve">Yes. </w:t>
      </w:r>
      <w:r>
        <w:t xml:space="preserve">Cost sharing will be waived for members using Anthem’s telemedicine </w:t>
      </w:r>
      <w:r>
        <w:t xml:space="preserve">service, </w:t>
      </w:r>
      <w:proofErr w:type="spellStart"/>
      <w:r>
        <w:t>LiveHealth</w:t>
      </w:r>
      <w:proofErr w:type="spellEnd"/>
      <w:r>
        <w:t xml:space="preserve"> Online, as well as care received from other providers delivering telehealth. This applies to members who have Medicaid, Medicare, individual and employer-sponsored plan</w:t>
      </w:r>
      <w:r>
        <w:t xml:space="preserve">s. Self-insured plan sponsors will have the choice to participate.  </w:t>
      </w:r>
    </w:p>
    <w:p w:rsidR="00E75746" w:rsidRDefault="005D0F02">
      <w:pPr>
        <w:spacing w:after="53" w:line="259" w:lineRule="auto"/>
        <w:ind w:left="1076" w:right="0" w:firstLine="0"/>
      </w:pPr>
      <w:r>
        <w:t xml:space="preserve"> </w:t>
      </w:r>
    </w:p>
    <w:p w:rsidR="00E75746" w:rsidRDefault="005D0F02">
      <w:pPr>
        <w:spacing w:after="2" w:line="249" w:lineRule="auto"/>
        <w:ind w:left="1061" w:right="434" w:firstLine="0"/>
      </w:pPr>
      <w:r>
        <w:rPr>
          <w:b/>
        </w:rPr>
        <w:t>5.2</w:t>
      </w:r>
      <w:r>
        <w:rPr>
          <w:rFonts w:ascii="Arial" w:eastAsia="Arial" w:hAnsi="Arial" w:cs="Arial"/>
          <w:b/>
        </w:rPr>
        <w:t xml:space="preserve"> </w:t>
      </w:r>
      <w:r>
        <w:rPr>
          <w:b/>
        </w:rPr>
        <w:t xml:space="preserve">24/7 </w:t>
      </w:r>
      <w:proofErr w:type="spellStart"/>
      <w:r>
        <w:rPr>
          <w:b/>
        </w:rPr>
        <w:t>NurseLine</w:t>
      </w:r>
      <w:proofErr w:type="spellEnd"/>
      <w:r>
        <w:rPr>
          <w:b/>
        </w:rPr>
        <w:t xml:space="preserve"> </w:t>
      </w:r>
    </w:p>
    <w:p w:rsidR="00E75746" w:rsidRDefault="005D0F02">
      <w:pPr>
        <w:spacing w:after="59" w:line="259" w:lineRule="auto"/>
        <w:ind w:left="1076" w:right="0" w:firstLine="0"/>
      </w:pPr>
      <w:r>
        <w:t xml:space="preserve"> </w:t>
      </w:r>
    </w:p>
    <w:p w:rsidR="00E75746" w:rsidRDefault="005D0F02">
      <w:pPr>
        <w:spacing w:after="45"/>
        <w:ind w:left="1071" w:right="449"/>
      </w:pPr>
      <w:r>
        <w:rPr>
          <w:b/>
        </w:rPr>
        <w:t>5.2.1</w:t>
      </w:r>
      <w:r>
        <w:rPr>
          <w:rFonts w:ascii="Arial" w:eastAsia="Arial" w:hAnsi="Arial" w:cs="Arial"/>
          <w:b/>
        </w:rPr>
        <w:t xml:space="preserve"> </w:t>
      </w:r>
      <w:r>
        <w:rPr>
          <w:b/>
        </w:rPr>
        <w:t xml:space="preserve">Can members use 24/7 </w:t>
      </w:r>
      <w:proofErr w:type="spellStart"/>
      <w:r>
        <w:rPr>
          <w:b/>
        </w:rPr>
        <w:t>NurseLine</w:t>
      </w:r>
      <w:proofErr w:type="spellEnd"/>
      <w:r>
        <w:rPr>
          <w:b/>
        </w:rPr>
        <w:t xml:space="preserve"> if they suspect symptoms of COVID-19?  </w:t>
      </w:r>
      <w:r>
        <w:t xml:space="preserve">Yes. 24/7 </w:t>
      </w:r>
      <w:proofErr w:type="spellStart"/>
      <w:r>
        <w:t>NurseLine</w:t>
      </w:r>
      <w:proofErr w:type="spellEnd"/>
      <w:r>
        <w:t xml:space="preserve"> has trained nurses to ask additional probing questions to members </w:t>
      </w:r>
      <w:r>
        <w:lastRenderedPageBreak/>
        <w:t>w</w:t>
      </w:r>
      <w:r>
        <w:t xml:space="preserve">ith respiratory symptoms and coached nurses to use updated </w:t>
      </w:r>
      <w:proofErr w:type="spellStart"/>
      <w:r>
        <w:t>HealthWise</w:t>
      </w:r>
      <w:proofErr w:type="spellEnd"/>
      <w:r>
        <w:t xml:space="preserve"> Connect COVID-19 information and the CDC web site. </w:t>
      </w:r>
      <w:r>
        <w:rPr>
          <w:b/>
        </w:rPr>
        <w:t xml:space="preserve"> </w:t>
      </w:r>
    </w:p>
    <w:p w:rsidR="00E75746" w:rsidRDefault="005D0F02">
      <w:pPr>
        <w:numPr>
          <w:ilvl w:val="0"/>
          <w:numId w:val="2"/>
        </w:numPr>
        <w:spacing w:after="51"/>
        <w:ind w:right="449" w:hanging="360"/>
      </w:pPr>
      <w:proofErr w:type="spellStart"/>
      <w:r>
        <w:t>NurseLine</w:t>
      </w:r>
      <w:proofErr w:type="spellEnd"/>
      <w:r>
        <w:t xml:space="preserve"> is available to most Anthem members who have Medicaid, Medicare, individual and employer-based plans. </w:t>
      </w:r>
      <w:r>
        <w:rPr>
          <w:b/>
        </w:rPr>
        <w:t xml:space="preserve"> </w:t>
      </w:r>
    </w:p>
    <w:p w:rsidR="00E75746" w:rsidRDefault="005D0F02">
      <w:pPr>
        <w:numPr>
          <w:ilvl w:val="0"/>
          <w:numId w:val="2"/>
        </w:numPr>
        <w:spacing w:after="314"/>
        <w:ind w:right="449" w:hanging="360"/>
      </w:pPr>
      <w:r>
        <w:t>The number is typic</w:t>
      </w:r>
      <w:r>
        <w:t>ally on the back for the member ID card. Most Medicaid members access the service through member services.</w:t>
      </w:r>
      <w:r>
        <w:rPr>
          <w:b/>
        </w:rPr>
        <w:t xml:space="preserve"> </w:t>
      </w:r>
    </w:p>
    <w:p w:rsidR="00E75746" w:rsidRDefault="005D0F02">
      <w:pPr>
        <w:spacing w:after="2" w:line="249" w:lineRule="auto"/>
        <w:ind w:left="1061" w:right="434" w:firstLine="0"/>
      </w:pPr>
      <w:r>
        <w:rPr>
          <w:b/>
        </w:rPr>
        <w:t>5.3</w:t>
      </w:r>
      <w:r>
        <w:rPr>
          <w:rFonts w:ascii="Arial" w:eastAsia="Arial" w:hAnsi="Arial" w:cs="Arial"/>
          <w:b/>
        </w:rPr>
        <w:t xml:space="preserve"> </w:t>
      </w:r>
      <w:r>
        <w:rPr>
          <w:b/>
        </w:rPr>
        <w:t xml:space="preserve">Sydney Care </w:t>
      </w:r>
    </w:p>
    <w:p w:rsidR="00E75746" w:rsidRDefault="005D0F02">
      <w:pPr>
        <w:spacing w:after="0" w:line="259" w:lineRule="auto"/>
        <w:ind w:left="1076" w:right="0" w:firstLine="0"/>
      </w:pPr>
      <w:r>
        <w:rPr>
          <w:b/>
        </w:rPr>
        <w:t xml:space="preserve"> </w:t>
      </w:r>
    </w:p>
    <w:p w:rsidR="00E75746" w:rsidRDefault="005D0F02">
      <w:pPr>
        <w:spacing w:after="2" w:line="249" w:lineRule="auto"/>
        <w:ind w:left="1061" w:right="434" w:firstLine="0"/>
      </w:pPr>
      <w:r>
        <w:rPr>
          <w:b/>
        </w:rPr>
        <w:t xml:space="preserve">5.3.1 What is Sydney Care? </w:t>
      </w:r>
    </w:p>
    <w:p w:rsidR="00E75746" w:rsidRDefault="005D0F02">
      <w:pPr>
        <w:spacing w:after="50"/>
        <w:ind w:left="1071" w:right="449"/>
      </w:pPr>
      <w:r>
        <w:t xml:space="preserve">Sydney Care is a digital care access platform offering a suite of health services via a downloadable app, including: </w:t>
      </w:r>
    </w:p>
    <w:p w:rsidR="00E75746" w:rsidRDefault="005D0F02">
      <w:pPr>
        <w:numPr>
          <w:ilvl w:val="0"/>
          <w:numId w:val="2"/>
        </w:numPr>
        <w:spacing w:after="70"/>
        <w:ind w:right="449" w:hanging="360"/>
      </w:pPr>
      <w:r>
        <w:rPr>
          <w:b/>
        </w:rPr>
        <w:t>Symptom Checker</w:t>
      </w:r>
      <w:r>
        <w:t>: Personalized, AI-driven chat functionality that can understand the symptoms users indicate and provide them with knowledg</w:t>
      </w:r>
      <w:r>
        <w:t xml:space="preserve">e about how others were diagnosed and treated. Sydney Care offers two options (below) to follow-up on the information provided during the Symptom Checker dialogue.  </w:t>
      </w:r>
    </w:p>
    <w:p w:rsidR="00E75746" w:rsidRDefault="005D0F02">
      <w:pPr>
        <w:numPr>
          <w:ilvl w:val="0"/>
          <w:numId w:val="2"/>
        </w:numPr>
        <w:spacing w:after="70"/>
        <w:ind w:right="449" w:hanging="360"/>
      </w:pPr>
      <w:r>
        <w:rPr>
          <w:b/>
        </w:rPr>
        <w:lastRenderedPageBreak/>
        <w:t>Virtual Text Visit</w:t>
      </w:r>
      <w:r>
        <w:t xml:space="preserve">: Enables consumers to connect directly with a </w:t>
      </w:r>
      <w:proofErr w:type="spellStart"/>
      <w:r>
        <w:t>boardcertified</w:t>
      </w:r>
      <w:proofErr w:type="spellEnd"/>
      <w:r>
        <w:t xml:space="preserve"> physician </w:t>
      </w:r>
      <w:r>
        <w:t xml:space="preserve">via text chat, should consumers desire to have a </w:t>
      </w:r>
      <w:proofErr w:type="spellStart"/>
      <w:r>
        <w:t>chatbased</w:t>
      </w:r>
      <w:proofErr w:type="spellEnd"/>
      <w:r>
        <w:t xml:space="preserve"> clinical evaluation. When appropriate, these physicians can prescribe medication, order lab work and/or suggest the type of specialist consumers may want to consult. </w:t>
      </w:r>
    </w:p>
    <w:p w:rsidR="00E75746" w:rsidRDefault="005D0F02">
      <w:pPr>
        <w:numPr>
          <w:ilvl w:val="0"/>
          <w:numId w:val="2"/>
        </w:numPr>
        <w:spacing w:after="167"/>
        <w:ind w:right="449" w:hanging="360"/>
      </w:pPr>
      <w:r>
        <w:rPr>
          <w:b/>
        </w:rPr>
        <w:t>Virtual Video Visit</w:t>
      </w:r>
      <w:r>
        <w:t>: Similar t</w:t>
      </w:r>
      <w:r>
        <w:t xml:space="preserve">o the Virtual Text Visit, the Virtual Video Visit option </w:t>
      </w:r>
      <w:r>
        <w:t>–</w:t>
      </w:r>
      <w:r>
        <w:t xml:space="preserve"> through </w:t>
      </w:r>
      <w:proofErr w:type="spellStart"/>
      <w:r>
        <w:t>LiveHealth</w:t>
      </w:r>
      <w:proofErr w:type="spellEnd"/>
      <w:r>
        <w:t xml:space="preserve"> Online </w:t>
      </w:r>
      <w:r>
        <w:t>–</w:t>
      </w:r>
      <w:r>
        <w:t xml:space="preserve"> is a secure, two-way video chat with a board-certified doctor. These physicians can also prescribe medication, order labs or make specialist recommendations. </w:t>
      </w:r>
    </w:p>
    <w:p w:rsidR="00E75746" w:rsidRDefault="005D0F02">
      <w:pPr>
        <w:spacing w:after="54" w:line="259" w:lineRule="auto"/>
        <w:ind w:left="1076" w:right="0" w:firstLine="0"/>
      </w:pPr>
      <w:r>
        <w:rPr>
          <w:b/>
        </w:rPr>
        <w:t xml:space="preserve"> </w:t>
      </w:r>
    </w:p>
    <w:p w:rsidR="00E75746" w:rsidRDefault="005D0F02">
      <w:pPr>
        <w:spacing w:after="45"/>
        <w:ind w:left="1071" w:right="449"/>
      </w:pPr>
      <w:r>
        <w:rPr>
          <w:b/>
        </w:rPr>
        <w:t>5.3.2</w:t>
      </w:r>
      <w:r>
        <w:rPr>
          <w:rFonts w:ascii="Arial" w:eastAsia="Arial" w:hAnsi="Arial" w:cs="Arial"/>
          <w:b/>
        </w:rPr>
        <w:t xml:space="preserve"> </w:t>
      </w:r>
      <w:r>
        <w:rPr>
          <w:b/>
        </w:rPr>
        <w:t>Ho</w:t>
      </w:r>
      <w:r>
        <w:rPr>
          <w:b/>
        </w:rPr>
        <w:t xml:space="preserve">w does the Sydney Care mobile app work in regards to coronavirus? </w:t>
      </w:r>
      <w:r>
        <w:t xml:space="preserve">Anthem is working to accelerate the availability of a </w:t>
      </w:r>
      <w:r>
        <w:rPr>
          <w:i/>
        </w:rPr>
        <w:t xml:space="preserve">Coronavirus Assessment </w:t>
      </w:r>
      <w:r>
        <w:t xml:space="preserve">on the Sydney Care mobile app, which members can download at no cost.  </w:t>
      </w:r>
    </w:p>
    <w:p w:rsidR="00E75746" w:rsidRDefault="005D0F02">
      <w:pPr>
        <w:numPr>
          <w:ilvl w:val="0"/>
          <w:numId w:val="2"/>
        </w:numPr>
        <w:spacing w:after="50"/>
        <w:ind w:right="449" w:hanging="360"/>
      </w:pPr>
      <w:r>
        <w:t>The</w:t>
      </w:r>
      <w:r>
        <w:rPr>
          <w:i/>
        </w:rPr>
        <w:t xml:space="preserve"> Coronavirus Assessment</w:t>
      </w:r>
      <w:r>
        <w:t xml:space="preserve"> </w:t>
      </w:r>
      <w:r>
        <w:t xml:space="preserve">is designed based on guidelines from the Centers for Disease Control and Prevention (CDC) and National Institutes of Health </w:t>
      </w:r>
      <w:r>
        <w:lastRenderedPageBreak/>
        <w:t xml:space="preserve">(NIH) to help individuals quickly and safely evaluate their symptoms and assess their risk of having COVID-19.  </w:t>
      </w:r>
    </w:p>
    <w:p w:rsidR="00E75746" w:rsidRDefault="005D0F02">
      <w:pPr>
        <w:numPr>
          <w:ilvl w:val="0"/>
          <w:numId w:val="2"/>
        </w:numPr>
        <w:spacing w:after="46"/>
        <w:ind w:right="449" w:hanging="360"/>
      </w:pPr>
      <w:r>
        <w:t xml:space="preserve">Inputs provided by </w:t>
      </w:r>
      <w:r>
        <w:t xml:space="preserve">individual users include symptoms, recent travel and potential contact with anyone with the disease.  </w:t>
      </w:r>
    </w:p>
    <w:p w:rsidR="00E75746" w:rsidRDefault="005D0F02">
      <w:pPr>
        <w:numPr>
          <w:ilvl w:val="0"/>
          <w:numId w:val="2"/>
        </w:numPr>
        <w:ind w:right="449" w:hanging="360"/>
      </w:pPr>
      <w:r>
        <w:t>Based on the results, Anthem members will be able to connect directly to a board certified-doctor via the Sydney Care app who can recommend care options.</w:t>
      </w:r>
      <w:r>
        <w:t xml:space="preserve">  </w:t>
      </w:r>
    </w:p>
    <w:p w:rsidR="00E75746" w:rsidRDefault="005D0F02">
      <w:pPr>
        <w:spacing w:after="58" w:line="259" w:lineRule="auto"/>
        <w:ind w:left="1436" w:right="0" w:firstLine="0"/>
      </w:pPr>
      <w:r>
        <w:rPr>
          <w:b/>
        </w:rPr>
        <w:t xml:space="preserve"> </w:t>
      </w:r>
    </w:p>
    <w:p w:rsidR="00E75746" w:rsidRDefault="005D0F02">
      <w:pPr>
        <w:spacing w:after="2" w:line="249" w:lineRule="auto"/>
        <w:ind w:left="1061" w:right="434" w:firstLine="0"/>
      </w:pPr>
      <w:r>
        <w:rPr>
          <w:b/>
        </w:rPr>
        <w:t>5.3.3</w:t>
      </w:r>
      <w:r>
        <w:rPr>
          <w:rFonts w:ascii="Arial" w:eastAsia="Arial" w:hAnsi="Arial" w:cs="Arial"/>
          <w:b/>
        </w:rPr>
        <w:t xml:space="preserve"> </w:t>
      </w:r>
      <w:r>
        <w:rPr>
          <w:b/>
        </w:rPr>
        <w:t xml:space="preserve">How do members find it? </w:t>
      </w:r>
    </w:p>
    <w:p w:rsidR="00E75746" w:rsidRDefault="005D0F02">
      <w:pPr>
        <w:ind w:left="1071" w:right="449"/>
      </w:pPr>
      <w:r>
        <w:t xml:space="preserve">Sydney Care is available for Anthem members to </w:t>
      </w:r>
      <w:hyperlink r:id="rId45">
        <w:r>
          <w:rPr>
            <w:color w:val="0000FF"/>
            <w:u w:val="single" w:color="0000FF"/>
          </w:rPr>
          <w:t>download now</w:t>
        </w:r>
      </w:hyperlink>
      <w:hyperlink r:id="rId46">
        <w:r>
          <w:t xml:space="preserve"> </w:t>
        </w:r>
      </w:hyperlink>
      <w:r>
        <w:t xml:space="preserve">on Android or iOS. This app should accompany their Sydney Health or Engage benefits app. </w:t>
      </w:r>
    </w:p>
    <w:p w:rsidR="00E75746" w:rsidRDefault="005D0F02">
      <w:pPr>
        <w:ind w:left="1071" w:right="449"/>
      </w:pPr>
      <w:r>
        <w:rPr>
          <w:i/>
        </w:rPr>
        <w:t>Coronavirus Assessment</w:t>
      </w:r>
      <w:r>
        <w:t xml:space="preserve"> functionality is currently available.  </w:t>
      </w:r>
    </w:p>
    <w:tbl>
      <w:tblPr>
        <w:tblStyle w:val="TableGrid"/>
        <w:tblW w:w="9592" w:type="dxa"/>
        <w:tblInd w:w="962" w:type="dxa"/>
        <w:tblCellMar>
          <w:top w:w="88" w:type="dxa"/>
          <w:left w:w="115" w:type="dxa"/>
          <w:bottom w:w="0" w:type="dxa"/>
          <w:right w:w="115" w:type="dxa"/>
        </w:tblCellMar>
        <w:tblLook w:val="04A0" w:firstRow="1" w:lastRow="0" w:firstColumn="1" w:lastColumn="0" w:noHBand="0" w:noVBand="1"/>
      </w:tblPr>
      <w:tblGrid>
        <w:gridCol w:w="9592"/>
      </w:tblGrid>
      <w:tr w:rsidR="00E75746">
        <w:trPr>
          <w:trHeight w:val="438"/>
        </w:trPr>
        <w:tc>
          <w:tcPr>
            <w:tcW w:w="9592" w:type="dxa"/>
            <w:tcBorders>
              <w:top w:val="single" w:sz="4" w:space="0" w:color="000000"/>
              <w:left w:val="single" w:sz="4" w:space="0" w:color="000000"/>
              <w:bottom w:val="single" w:sz="4" w:space="0" w:color="000000"/>
              <w:right w:val="single" w:sz="4" w:space="0" w:color="000000"/>
            </w:tcBorders>
            <w:shd w:val="clear" w:color="auto" w:fill="D9D9D9"/>
          </w:tcPr>
          <w:p w:rsidR="00E75746" w:rsidRDefault="005D0F02">
            <w:pPr>
              <w:spacing w:after="0" w:line="259" w:lineRule="auto"/>
              <w:ind w:left="5" w:right="0" w:firstLine="0"/>
              <w:jc w:val="center"/>
            </w:pPr>
            <w:r>
              <w:rPr>
                <w:noProof/>
              </w:rPr>
              <w:drawing>
                <wp:inline distT="0" distB="0" distL="0" distR="0">
                  <wp:extent cx="98425" cy="146050"/>
                  <wp:effectExtent l="0" t="0" r="0" b="0"/>
                  <wp:docPr id="1379" name="Picture 1379"/>
                  <wp:cNvGraphicFramePr/>
                  <a:graphic xmlns:a="http://schemas.openxmlformats.org/drawingml/2006/main">
                    <a:graphicData uri="http://schemas.openxmlformats.org/drawingml/2006/picture">
                      <pic:pic xmlns:pic="http://schemas.openxmlformats.org/drawingml/2006/picture">
                        <pic:nvPicPr>
                          <pic:cNvPr id="1379" name="Picture 1379"/>
                          <pic:cNvPicPr/>
                        </pic:nvPicPr>
                        <pic:blipFill>
                          <a:blip r:embed="rId47"/>
                          <a:stretch>
                            <a:fillRect/>
                          </a:stretch>
                        </pic:blipFill>
                        <pic:spPr>
                          <a:xfrm>
                            <a:off x="0" y="0"/>
                            <a:ext cx="98425" cy="146050"/>
                          </a:xfrm>
                          <a:prstGeom prst="rect">
                            <a:avLst/>
                          </a:prstGeom>
                        </pic:spPr>
                      </pic:pic>
                    </a:graphicData>
                  </a:graphic>
                </wp:inline>
              </w:drawing>
            </w:r>
            <w:r>
              <w:rPr>
                <w:rFonts w:ascii="Arial" w:eastAsia="Arial" w:hAnsi="Arial" w:cs="Arial"/>
                <w:sz w:val="32"/>
              </w:rPr>
              <w:t xml:space="preserve"> </w:t>
            </w:r>
            <w:r>
              <w:rPr>
                <w:sz w:val="32"/>
              </w:rPr>
              <w:t xml:space="preserve">Underwriting and Financial Questions </w:t>
            </w:r>
          </w:p>
        </w:tc>
      </w:tr>
    </w:tbl>
    <w:p w:rsidR="00E75746" w:rsidRDefault="005D0F02">
      <w:pPr>
        <w:spacing w:after="35" w:line="259" w:lineRule="auto"/>
        <w:ind w:left="1076" w:right="0" w:firstLine="0"/>
      </w:pPr>
      <w:r>
        <w:rPr>
          <w:color w:val="1F497D"/>
          <w:sz w:val="22"/>
        </w:rPr>
        <w:t xml:space="preserve"> </w:t>
      </w:r>
    </w:p>
    <w:p w:rsidR="00E75746" w:rsidRDefault="005D0F02">
      <w:pPr>
        <w:ind w:left="1071" w:right="449"/>
      </w:pPr>
      <w:r>
        <w:t xml:space="preserve">Note: State level information may vary from what is below </w:t>
      </w:r>
    </w:p>
    <w:p w:rsidR="00E75746" w:rsidRDefault="005D0F02">
      <w:pPr>
        <w:spacing w:after="54" w:line="259" w:lineRule="auto"/>
        <w:ind w:left="1076" w:right="0" w:firstLine="0"/>
      </w:pPr>
      <w:r>
        <w:rPr>
          <w:b/>
        </w:rPr>
        <w:t xml:space="preserve"> </w:t>
      </w:r>
    </w:p>
    <w:p w:rsidR="00E75746" w:rsidRDefault="005D0F02">
      <w:pPr>
        <w:numPr>
          <w:ilvl w:val="1"/>
          <w:numId w:val="6"/>
        </w:numPr>
        <w:spacing w:after="2" w:line="249" w:lineRule="auto"/>
        <w:ind w:left="1637" w:right="434" w:hanging="576"/>
      </w:pPr>
      <w:r>
        <w:rPr>
          <w:b/>
        </w:rPr>
        <w:lastRenderedPageBreak/>
        <w:t xml:space="preserve">Are customers able to continue employee health benefits if part of the workforce is laid-off in response to the COVID-19 crisis?  </w:t>
      </w:r>
    </w:p>
    <w:p w:rsidR="00E75746" w:rsidRDefault="005D0F02">
      <w:pPr>
        <w:spacing w:after="0" w:line="259" w:lineRule="auto"/>
        <w:ind w:left="1076" w:right="0" w:firstLine="0"/>
      </w:pPr>
      <w:r>
        <w:rPr>
          <w:b/>
        </w:rPr>
        <w:t xml:space="preserve"> </w:t>
      </w:r>
    </w:p>
    <w:tbl>
      <w:tblPr>
        <w:tblStyle w:val="TableGrid"/>
        <w:tblW w:w="8636" w:type="dxa"/>
        <w:tblInd w:w="1797" w:type="dxa"/>
        <w:tblCellMar>
          <w:top w:w="49" w:type="dxa"/>
          <w:left w:w="109" w:type="dxa"/>
          <w:bottom w:w="0" w:type="dxa"/>
          <w:right w:w="84" w:type="dxa"/>
        </w:tblCellMar>
        <w:tblLook w:val="04A0" w:firstRow="1" w:lastRow="0" w:firstColumn="1" w:lastColumn="0" w:noHBand="0" w:noVBand="1"/>
      </w:tblPr>
      <w:tblGrid>
        <w:gridCol w:w="4315"/>
        <w:gridCol w:w="4321"/>
      </w:tblGrid>
      <w:tr w:rsidR="00E75746">
        <w:trPr>
          <w:trHeight w:val="278"/>
        </w:trPr>
        <w:tc>
          <w:tcPr>
            <w:tcW w:w="4315" w:type="dxa"/>
            <w:tcBorders>
              <w:top w:val="single" w:sz="4" w:space="0" w:color="000000"/>
              <w:left w:val="single" w:sz="4" w:space="0" w:color="000000"/>
              <w:bottom w:val="single" w:sz="4" w:space="0" w:color="000000"/>
              <w:right w:val="single" w:sz="4" w:space="0" w:color="000000"/>
            </w:tcBorders>
            <w:shd w:val="clear" w:color="auto" w:fill="9CC2E5"/>
          </w:tcPr>
          <w:p w:rsidR="00E75746" w:rsidRDefault="005D0F02">
            <w:pPr>
              <w:spacing w:after="0" w:line="259" w:lineRule="auto"/>
              <w:ind w:left="0" w:right="0" w:firstLine="0"/>
            </w:pPr>
            <w:r>
              <w:rPr>
                <w:b/>
                <w:sz w:val="22"/>
              </w:rPr>
              <w:t xml:space="preserve">Fully Insured Plans  </w:t>
            </w:r>
          </w:p>
        </w:tc>
        <w:tc>
          <w:tcPr>
            <w:tcW w:w="4321" w:type="dxa"/>
            <w:tcBorders>
              <w:top w:val="single" w:sz="4" w:space="0" w:color="000000"/>
              <w:left w:val="single" w:sz="4" w:space="0" w:color="000000"/>
              <w:bottom w:val="single" w:sz="4" w:space="0" w:color="000000"/>
              <w:right w:val="single" w:sz="4" w:space="0" w:color="000000"/>
            </w:tcBorders>
            <w:shd w:val="clear" w:color="auto" w:fill="9CC2E5"/>
          </w:tcPr>
          <w:p w:rsidR="00E75746" w:rsidRDefault="005D0F02">
            <w:pPr>
              <w:spacing w:after="0" w:line="259" w:lineRule="auto"/>
              <w:ind w:left="2" w:right="0" w:firstLine="0"/>
            </w:pPr>
            <w:r>
              <w:rPr>
                <w:b/>
                <w:sz w:val="22"/>
              </w:rPr>
              <w:t xml:space="preserve">Self-Insured Plans </w:t>
            </w:r>
          </w:p>
        </w:tc>
      </w:tr>
      <w:tr w:rsidR="00E75746">
        <w:trPr>
          <w:trHeight w:val="3828"/>
        </w:trPr>
        <w:tc>
          <w:tcPr>
            <w:tcW w:w="4315" w:type="dxa"/>
            <w:tcBorders>
              <w:top w:val="single" w:sz="4" w:space="0" w:color="000000"/>
              <w:left w:val="single" w:sz="4" w:space="0" w:color="000000"/>
              <w:bottom w:val="single" w:sz="4" w:space="0" w:color="000000"/>
              <w:right w:val="single" w:sz="4" w:space="0" w:color="000000"/>
            </w:tcBorders>
          </w:tcPr>
          <w:p w:rsidR="00E75746" w:rsidRDefault="005D0F02">
            <w:pPr>
              <w:spacing w:after="0" w:line="240" w:lineRule="auto"/>
              <w:ind w:left="0" w:right="0" w:firstLine="0"/>
            </w:pPr>
            <w:r>
              <w:rPr>
                <w:sz w:val="22"/>
              </w:rPr>
              <w:t xml:space="preserve">Yes.  Anthem’s requirement for employees to </w:t>
            </w:r>
            <w:r>
              <w:rPr>
                <w:sz w:val="22"/>
              </w:rPr>
              <w:t xml:space="preserve">be actively working in order to be eligible for coverage will be relaxed through May 31, 2020 as long as the monthly premium payment is received.  </w:t>
            </w:r>
          </w:p>
          <w:p w:rsidR="00E75746" w:rsidRDefault="005D0F02">
            <w:pPr>
              <w:spacing w:after="0" w:line="259" w:lineRule="auto"/>
              <w:ind w:left="0" w:right="0" w:firstLine="0"/>
            </w:pPr>
            <w:r>
              <w:rPr>
                <w:sz w:val="22"/>
              </w:rPr>
              <w:t xml:space="preserve"> </w:t>
            </w:r>
          </w:p>
          <w:p w:rsidR="00E75746" w:rsidRDefault="005D0F02">
            <w:pPr>
              <w:spacing w:after="0" w:line="259" w:lineRule="auto"/>
              <w:ind w:left="0" w:right="0" w:firstLine="0"/>
            </w:pPr>
            <w:r>
              <w:rPr>
                <w:sz w:val="22"/>
              </w:rPr>
              <w:t>Coverage must be offered on a uniform, nondiscriminatory basis to all employees and employee premium contr</w:t>
            </w:r>
            <w:r>
              <w:rPr>
                <w:sz w:val="22"/>
              </w:rPr>
              <w:t xml:space="preserve">ibutions must be the same or less prior to the layoffs.  </w:t>
            </w:r>
          </w:p>
        </w:tc>
        <w:tc>
          <w:tcPr>
            <w:tcW w:w="4321" w:type="dxa"/>
            <w:tcBorders>
              <w:top w:val="single" w:sz="4" w:space="0" w:color="000000"/>
              <w:left w:val="single" w:sz="4" w:space="0" w:color="000000"/>
              <w:bottom w:val="single" w:sz="4" w:space="0" w:color="000000"/>
              <w:right w:val="single" w:sz="4" w:space="0" w:color="000000"/>
            </w:tcBorders>
          </w:tcPr>
          <w:p w:rsidR="00E75746" w:rsidRDefault="005D0F02">
            <w:pPr>
              <w:spacing w:after="1" w:line="240" w:lineRule="auto"/>
              <w:ind w:left="2" w:right="19" w:firstLine="0"/>
            </w:pPr>
            <w:r>
              <w:rPr>
                <w:sz w:val="22"/>
              </w:rPr>
              <w:t xml:space="preserve">Yes.  Payment of administrative fees, claims cost and stop loss premium is required to continue coverage for laid-off employees who are not actively at work.  </w:t>
            </w:r>
          </w:p>
          <w:p w:rsidR="00E75746" w:rsidRDefault="005D0F02">
            <w:pPr>
              <w:spacing w:after="0" w:line="259" w:lineRule="auto"/>
              <w:ind w:left="2" w:right="0" w:firstLine="0"/>
            </w:pPr>
            <w:r>
              <w:rPr>
                <w:sz w:val="22"/>
              </w:rPr>
              <w:t xml:space="preserve"> </w:t>
            </w:r>
          </w:p>
          <w:p w:rsidR="00E75746" w:rsidRDefault="005D0F02">
            <w:pPr>
              <w:spacing w:after="0" w:line="241" w:lineRule="auto"/>
              <w:ind w:left="2" w:right="4" w:firstLine="0"/>
            </w:pPr>
            <w:r>
              <w:rPr>
                <w:sz w:val="22"/>
              </w:rPr>
              <w:t xml:space="preserve">Coverage must be offered on a uniform, nondiscriminatory basis to all employees and employee premium contributions must be the same or less prior to the layoffs. </w:t>
            </w:r>
          </w:p>
          <w:p w:rsidR="00E75746" w:rsidRDefault="005D0F02">
            <w:pPr>
              <w:spacing w:after="0" w:line="259" w:lineRule="auto"/>
              <w:ind w:left="2" w:right="0" w:firstLine="0"/>
            </w:pPr>
            <w:r>
              <w:rPr>
                <w:sz w:val="22"/>
              </w:rPr>
              <w:t xml:space="preserve"> </w:t>
            </w:r>
          </w:p>
          <w:p w:rsidR="00E75746" w:rsidRDefault="005D0F02">
            <w:pPr>
              <w:spacing w:after="0" w:line="259" w:lineRule="auto"/>
              <w:ind w:left="2" w:right="0" w:firstLine="0"/>
            </w:pPr>
            <w:r>
              <w:rPr>
                <w:sz w:val="22"/>
              </w:rPr>
              <w:t xml:space="preserve">If Anthem is not a customer’s stop loss </w:t>
            </w:r>
            <w:r>
              <w:rPr>
                <w:sz w:val="22"/>
              </w:rPr>
              <w:t xml:space="preserve">carrier, Anthem recommends verifying coverage with </w:t>
            </w:r>
            <w:r>
              <w:rPr>
                <w:sz w:val="22"/>
              </w:rPr>
              <w:t xml:space="preserve">the customer stop loss carrier.  </w:t>
            </w:r>
          </w:p>
        </w:tc>
      </w:tr>
    </w:tbl>
    <w:p w:rsidR="00E75746" w:rsidRDefault="005D0F02">
      <w:pPr>
        <w:spacing w:after="37" w:line="259" w:lineRule="auto"/>
        <w:ind w:left="1076" w:right="0" w:firstLine="0"/>
      </w:pPr>
      <w:r>
        <w:rPr>
          <w:b/>
        </w:rPr>
        <w:t xml:space="preserve"> </w:t>
      </w:r>
    </w:p>
    <w:p w:rsidR="00E75746" w:rsidRDefault="005D0F02">
      <w:pPr>
        <w:numPr>
          <w:ilvl w:val="1"/>
          <w:numId w:val="6"/>
        </w:numPr>
        <w:spacing w:after="2" w:line="249" w:lineRule="auto"/>
        <w:ind w:left="1637" w:right="434" w:hanging="576"/>
      </w:pPr>
      <w:r>
        <w:rPr>
          <w:b/>
        </w:rPr>
        <w:t xml:space="preserve">Are customers able to continue employee health benefits if the entire workforce is laid off in response to the COVID-19 crisis? </w:t>
      </w:r>
      <w:r>
        <w:rPr>
          <w:b/>
          <w:sz w:val="26"/>
        </w:rPr>
        <w:t xml:space="preserve"> </w:t>
      </w:r>
    </w:p>
    <w:p w:rsidR="00E75746" w:rsidRDefault="005D0F02">
      <w:pPr>
        <w:spacing w:after="0" w:line="259" w:lineRule="auto"/>
        <w:ind w:left="1076" w:right="0" w:firstLine="0"/>
      </w:pPr>
      <w:r>
        <w:rPr>
          <w:b/>
          <w:i/>
          <w:sz w:val="22"/>
        </w:rPr>
        <w:t xml:space="preserve"> </w:t>
      </w:r>
    </w:p>
    <w:tbl>
      <w:tblPr>
        <w:tblStyle w:val="TableGrid"/>
        <w:tblW w:w="8636" w:type="dxa"/>
        <w:tblInd w:w="1797" w:type="dxa"/>
        <w:tblCellMar>
          <w:top w:w="46" w:type="dxa"/>
          <w:left w:w="109" w:type="dxa"/>
          <w:bottom w:w="0" w:type="dxa"/>
          <w:right w:w="76" w:type="dxa"/>
        </w:tblCellMar>
        <w:tblLook w:val="04A0" w:firstRow="1" w:lastRow="0" w:firstColumn="1" w:lastColumn="0" w:noHBand="0" w:noVBand="1"/>
      </w:tblPr>
      <w:tblGrid>
        <w:gridCol w:w="4315"/>
        <w:gridCol w:w="4321"/>
      </w:tblGrid>
      <w:tr w:rsidR="00E75746">
        <w:trPr>
          <w:trHeight w:val="278"/>
        </w:trPr>
        <w:tc>
          <w:tcPr>
            <w:tcW w:w="4315" w:type="dxa"/>
            <w:tcBorders>
              <w:top w:val="single" w:sz="4" w:space="0" w:color="000000"/>
              <w:left w:val="single" w:sz="4" w:space="0" w:color="000000"/>
              <w:bottom w:val="single" w:sz="4" w:space="0" w:color="000000"/>
              <w:right w:val="single" w:sz="4" w:space="0" w:color="000000"/>
            </w:tcBorders>
            <w:shd w:val="clear" w:color="auto" w:fill="9CC2E5"/>
          </w:tcPr>
          <w:p w:rsidR="00E75746" w:rsidRDefault="005D0F02">
            <w:pPr>
              <w:spacing w:after="0" w:line="259" w:lineRule="auto"/>
              <w:ind w:left="0" w:right="0" w:firstLine="0"/>
            </w:pPr>
            <w:r>
              <w:rPr>
                <w:b/>
                <w:sz w:val="22"/>
              </w:rPr>
              <w:t xml:space="preserve">Fully Insured Plans  </w:t>
            </w:r>
          </w:p>
        </w:tc>
        <w:tc>
          <w:tcPr>
            <w:tcW w:w="4321" w:type="dxa"/>
            <w:tcBorders>
              <w:top w:val="single" w:sz="4" w:space="0" w:color="000000"/>
              <w:left w:val="single" w:sz="4" w:space="0" w:color="000000"/>
              <w:bottom w:val="single" w:sz="4" w:space="0" w:color="000000"/>
              <w:right w:val="single" w:sz="4" w:space="0" w:color="000000"/>
            </w:tcBorders>
            <w:shd w:val="clear" w:color="auto" w:fill="9CC2E5"/>
          </w:tcPr>
          <w:p w:rsidR="00E75746" w:rsidRDefault="005D0F02">
            <w:pPr>
              <w:spacing w:after="0" w:line="259" w:lineRule="auto"/>
              <w:ind w:left="2" w:right="0" w:firstLine="0"/>
            </w:pPr>
            <w:r>
              <w:rPr>
                <w:b/>
                <w:sz w:val="22"/>
              </w:rPr>
              <w:t xml:space="preserve">Self-Insured Plans </w:t>
            </w:r>
          </w:p>
        </w:tc>
      </w:tr>
      <w:tr w:rsidR="00E75746">
        <w:trPr>
          <w:trHeight w:val="3772"/>
        </w:trPr>
        <w:tc>
          <w:tcPr>
            <w:tcW w:w="4315" w:type="dxa"/>
            <w:tcBorders>
              <w:top w:val="single" w:sz="4" w:space="0" w:color="000000"/>
              <w:left w:val="single" w:sz="4" w:space="0" w:color="000000"/>
              <w:bottom w:val="single" w:sz="4" w:space="0" w:color="000000"/>
              <w:right w:val="single" w:sz="4" w:space="0" w:color="000000"/>
            </w:tcBorders>
          </w:tcPr>
          <w:p w:rsidR="00E75746" w:rsidRDefault="005D0F02">
            <w:pPr>
              <w:spacing w:after="2" w:line="240" w:lineRule="auto"/>
              <w:ind w:left="0" w:right="0" w:firstLine="0"/>
            </w:pPr>
            <w:r>
              <w:rPr>
                <w:sz w:val="22"/>
              </w:rPr>
              <w:lastRenderedPageBreak/>
              <w:t xml:space="preserve">Yes. If one person remains actively employed and continues health benefit coverage, all employees laid-off will be eligible for coverage as long as the monthly premium payment is received.  </w:t>
            </w:r>
          </w:p>
          <w:p w:rsidR="00E75746" w:rsidRDefault="005D0F02">
            <w:pPr>
              <w:spacing w:after="0" w:line="259" w:lineRule="auto"/>
              <w:ind w:left="0" w:right="0" w:firstLine="0"/>
            </w:pPr>
            <w:r>
              <w:rPr>
                <w:sz w:val="22"/>
              </w:rPr>
              <w:t xml:space="preserve"> </w:t>
            </w:r>
          </w:p>
          <w:p w:rsidR="00E75746" w:rsidRDefault="005D0F02">
            <w:pPr>
              <w:spacing w:after="0" w:line="259" w:lineRule="auto"/>
              <w:ind w:left="0" w:right="8" w:firstLine="0"/>
            </w:pPr>
            <w:r>
              <w:rPr>
                <w:sz w:val="22"/>
              </w:rPr>
              <w:t xml:space="preserve">Coverage must be offered on a uniform, nondiscriminatory basis </w:t>
            </w:r>
            <w:r>
              <w:rPr>
                <w:sz w:val="22"/>
              </w:rPr>
              <w:t xml:space="preserve">to all employees and employee premium contributions must be the same or less than what they were prior to the layoffs. </w:t>
            </w:r>
          </w:p>
        </w:tc>
        <w:tc>
          <w:tcPr>
            <w:tcW w:w="4321" w:type="dxa"/>
            <w:tcBorders>
              <w:top w:val="single" w:sz="4" w:space="0" w:color="000000"/>
              <w:left w:val="single" w:sz="4" w:space="0" w:color="000000"/>
              <w:bottom w:val="single" w:sz="4" w:space="0" w:color="000000"/>
              <w:right w:val="single" w:sz="4" w:space="0" w:color="000000"/>
            </w:tcBorders>
          </w:tcPr>
          <w:p w:rsidR="00E75746" w:rsidRDefault="005D0F02">
            <w:pPr>
              <w:spacing w:after="0" w:line="241" w:lineRule="auto"/>
              <w:ind w:left="2" w:right="0" w:firstLine="0"/>
            </w:pPr>
            <w:r>
              <w:rPr>
                <w:sz w:val="22"/>
              </w:rPr>
              <w:t>Yes. If one person remains actively employed and continues health benefit coverage, all employees laid-off will be eligible for coverage</w:t>
            </w:r>
            <w:r>
              <w:rPr>
                <w:sz w:val="22"/>
              </w:rPr>
              <w:t xml:space="preserve">.  Payment of administrative fees, claims cost and stop loss premium is required to continue coverage for laid-off employees who are not actively at work.  </w:t>
            </w:r>
          </w:p>
          <w:p w:rsidR="00E75746" w:rsidRDefault="005D0F02">
            <w:pPr>
              <w:spacing w:after="0" w:line="259" w:lineRule="auto"/>
              <w:ind w:left="2" w:right="0" w:firstLine="0"/>
            </w:pPr>
            <w:r>
              <w:rPr>
                <w:sz w:val="22"/>
              </w:rPr>
              <w:t xml:space="preserve"> </w:t>
            </w:r>
          </w:p>
          <w:p w:rsidR="00E75746" w:rsidRDefault="005D0F02">
            <w:pPr>
              <w:spacing w:after="1" w:line="240" w:lineRule="auto"/>
              <w:ind w:left="2" w:right="12" w:firstLine="0"/>
            </w:pPr>
            <w:r>
              <w:rPr>
                <w:sz w:val="22"/>
              </w:rPr>
              <w:t>Coverage must be offered on a uniform, nondiscriminatory basis to all employees and employee prem</w:t>
            </w:r>
            <w:r>
              <w:rPr>
                <w:sz w:val="22"/>
              </w:rPr>
              <w:t xml:space="preserve">ium contributions must be the same or less than what they were prior to the layoffs. </w:t>
            </w:r>
          </w:p>
          <w:p w:rsidR="00E75746" w:rsidRDefault="005D0F02">
            <w:pPr>
              <w:spacing w:after="0" w:line="259" w:lineRule="auto"/>
              <w:ind w:left="2" w:right="0" w:firstLine="0"/>
            </w:pPr>
            <w:r>
              <w:rPr>
                <w:sz w:val="22"/>
              </w:rPr>
              <w:t xml:space="preserve"> </w:t>
            </w:r>
          </w:p>
        </w:tc>
      </w:tr>
      <w:tr w:rsidR="00E75746">
        <w:trPr>
          <w:trHeight w:val="1085"/>
        </w:trPr>
        <w:tc>
          <w:tcPr>
            <w:tcW w:w="4315" w:type="dxa"/>
            <w:tcBorders>
              <w:top w:val="single" w:sz="4" w:space="0" w:color="000000"/>
              <w:left w:val="single" w:sz="4" w:space="0" w:color="000000"/>
              <w:bottom w:val="single" w:sz="4" w:space="0" w:color="000000"/>
              <w:right w:val="single" w:sz="4" w:space="0" w:color="000000"/>
            </w:tcBorders>
          </w:tcPr>
          <w:p w:rsidR="00E75746" w:rsidRDefault="00E75746">
            <w:pPr>
              <w:spacing w:after="160" w:line="259" w:lineRule="auto"/>
              <w:ind w:left="0" w:right="0" w:firstLine="0"/>
            </w:pPr>
          </w:p>
        </w:tc>
        <w:tc>
          <w:tcPr>
            <w:tcW w:w="4321" w:type="dxa"/>
            <w:tcBorders>
              <w:top w:val="single" w:sz="4" w:space="0" w:color="000000"/>
              <w:left w:val="single" w:sz="4" w:space="0" w:color="000000"/>
              <w:bottom w:val="single" w:sz="4" w:space="0" w:color="000000"/>
              <w:right w:val="single" w:sz="4" w:space="0" w:color="000000"/>
            </w:tcBorders>
          </w:tcPr>
          <w:p w:rsidR="00E75746" w:rsidRDefault="005D0F02">
            <w:pPr>
              <w:spacing w:after="0" w:line="259" w:lineRule="auto"/>
              <w:ind w:left="0" w:right="0" w:firstLine="0"/>
            </w:pPr>
            <w:r>
              <w:rPr>
                <w:sz w:val="22"/>
              </w:rPr>
              <w:t xml:space="preserve">If Anthem is </w:t>
            </w:r>
            <w:r>
              <w:rPr>
                <w:sz w:val="22"/>
              </w:rPr>
              <w:t xml:space="preserve">not a customer’s stop loss </w:t>
            </w:r>
            <w:r>
              <w:rPr>
                <w:sz w:val="22"/>
              </w:rPr>
              <w:t xml:space="preserve">carrier, Anthem recommends verifying </w:t>
            </w:r>
            <w:r>
              <w:rPr>
                <w:sz w:val="22"/>
              </w:rPr>
              <w:t xml:space="preserve">coverage with the customer’s stop loss </w:t>
            </w:r>
            <w:r>
              <w:rPr>
                <w:sz w:val="22"/>
              </w:rPr>
              <w:t xml:space="preserve">carrier. </w:t>
            </w:r>
          </w:p>
        </w:tc>
      </w:tr>
    </w:tbl>
    <w:p w:rsidR="00E75746" w:rsidRDefault="005D0F02">
      <w:pPr>
        <w:spacing w:after="118" w:line="259" w:lineRule="auto"/>
        <w:ind w:left="1076" w:right="0" w:firstLine="0"/>
      </w:pPr>
      <w:r>
        <w:rPr>
          <w:sz w:val="22"/>
        </w:rPr>
        <w:t xml:space="preserve"> </w:t>
      </w:r>
    </w:p>
    <w:p w:rsidR="00E75746" w:rsidRDefault="005D0F02">
      <w:pPr>
        <w:numPr>
          <w:ilvl w:val="1"/>
          <w:numId w:val="6"/>
        </w:numPr>
        <w:spacing w:after="2" w:line="249" w:lineRule="auto"/>
        <w:ind w:left="1637" w:right="434" w:hanging="576"/>
      </w:pPr>
      <w:r>
        <w:rPr>
          <w:b/>
        </w:rPr>
        <w:t xml:space="preserve">Will continuation coverage be available for a customer’s employees who have been laid off and are employers able to offer continuation coverage to their employees at their own expense?  </w:t>
      </w:r>
    </w:p>
    <w:p w:rsidR="00E75746" w:rsidRDefault="005D0F02">
      <w:pPr>
        <w:spacing w:after="0" w:line="259" w:lineRule="auto"/>
        <w:ind w:left="1076" w:right="0" w:firstLine="0"/>
      </w:pPr>
      <w:r>
        <w:t xml:space="preserve"> </w:t>
      </w:r>
    </w:p>
    <w:tbl>
      <w:tblPr>
        <w:tblStyle w:val="TableGrid"/>
        <w:tblW w:w="8636" w:type="dxa"/>
        <w:tblInd w:w="1797" w:type="dxa"/>
        <w:tblCellMar>
          <w:top w:w="46" w:type="dxa"/>
          <w:left w:w="109" w:type="dxa"/>
          <w:bottom w:w="0" w:type="dxa"/>
          <w:right w:w="80" w:type="dxa"/>
        </w:tblCellMar>
        <w:tblLook w:val="04A0" w:firstRow="1" w:lastRow="0" w:firstColumn="1" w:lastColumn="0" w:noHBand="0" w:noVBand="1"/>
      </w:tblPr>
      <w:tblGrid>
        <w:gridCol w:w="4315"/>
        <w:gridCol w:w="4321"/>
      </w:tblGrid>
      <w:tr w:rsidR="00E75746">
        <w:trPr>
          <w:trHeight w:val="278"/>
        </w:trPr>
        <w:tc>
          <w:tcPr>
            <w:tcW w:w="4315" w:type="dxa"/>
            <w:tcBorders>
              <w:top w:val="single" w:sz="4" w:space="0" w:color="000000"/>
              <w:left w:val="single" w:sz="4" w:space="0" w:color="000000"/>
              <w:bottom w:val="single" w:sz="4" w:space="0" w:color="000000"/>
              <w:right w:val="single" w:sz="4" w:space="0" w:color="000000"/>
            </w:tcBorders>
            <w:shd w:val="clear" w:color="auto" w:fill="9CC2E5"/>
          </w:tcPr>
          <w:p w:rsidR="00E75746" w:rsidRDefault="005D0F02">
            <w:pPr>
              <w:spacing w:after="0" w:line="259" w:lineRule="auto"/>
              <w:ind w:left="0" w:right="0" w:firstLine="0"/>
            </w:pPr>
            <w:r>
              <w:rPr>
                <w:b/>
                <w:sz w:val="22"/>
              </w:rPr>
              <w:t xml:space="preserve">Fully Insured Plans  </w:t>
            </w:r>
          </w:p>
        </w:tc>
        <w:tc>
          <w:tcPr>
            <w:tcW w:w="4321" w:type="dxa"/>
            <w:tcBorders>
              <w:top w:val="single" w:sz="4" w:space="0" w:color="000000"/>
              <w:left w:val="single" w:sz="4" w:space="0" w:color="000000"/>
              <w:bottom w:val="single" w:sz="4" w:space="0" w:color="000000"/>
              <w:right w:val="single" w:sz="4" w:space="0" w:color="000000"/>
            </w:tcBorders>
            <w:shd w:val="clear" w:color="auto" w:fill="9CC2E5"/>
          </w:tcPr>
          <w:p w:rsidR="00E75746" w:rsidRDefault="005D0F02">
            <w:pPr>
              <w:spacing w:after="0" w:line="259" w:lineRule="auto"/>
              <w:ind w:left="2" w:right="0" w:firstLine="0"/>
            </w:pPr>
            <w:r>
              <w:rPr>
                <w:b/>
                <w:sz w:val="22"/>
              </w:rPr>
              <w:t xml:space="preserve">Self-Insured Plans </w:t>
            </w:r>
          </w:p>
        </w:tc>
      </w:tr>
      <w:tr w:rsidR="00E75746">
        <w:trPr>
          <w:trHeight w:val="5918"/>
        </w:trPr>
        <w:tc>
          <w:tcPr>
            <w:tcW w:w="4315" w:type="dxa"/>
            <w:tcBorders>
              <w:top w:val="single" w:sz="4" w:space="0" w:color="000000"/>
              <w:left w:val="single" w:sz="4" w:space="0" w:color="000000"/>
              <w:bottom w:val="single" w:sz="4" w:space="0" w:color="000000"/>
              <w:right w:val="single" w:sz="4" w:space="0" w:color="000000"/>
            </w:tcBorders>
          </w:tcPr>
          <w:p w:rsidR="00E75746" w:rsidRDefault="005D0F02">
            <w:pPr>
              <w:spacing w:after="1" w:line="240" w:lineRule="auto"/>
              <w:ind w:left="0" w:right="0" w:firstLine="0"/>
            </w:pPr>
            <w:r>
              <w:rPr>
                <w:sz w:val="22"/>
              </w:rPr>
              <w:lastRenderedPageBreak/>
              <w:t xml:space="preserve">If an employer offers COBRA and if one person remains actively employed, employees may elect to continue coverage under COBRA by following the normal notice and election procedures.  </w:t>
            </w:r>
          </w:p>
          <w:p w:rsidR="00E75746" w:rsidRDefault="005D0F02">
            <w:pPr>
              <w:spacing w:after="0" w:line="259" w:lineRule="auto"/>
              <w:ind w:left="0" w:right="0" w:firstLine="0"/>
            </w:pPr>
            <w:r>
              <w:rPr>
                <w:sz w:val="22"/>
              </w:rPr>
              <w:t xml:space="preserve"> </w:t>
            </w:r>
          </w:p>
          <w:p w:rsidR="00E75746" w:rsidRDefault="005D0F02">
            <w:pPr>
              <w:spacing w:after="5" w:line="237" w:lineRule="auto"/>
              <w:ind w:left="0" w:right="0" w:firstLine="0"/>
            </w:pPr>
            <w:r>
              <w:rPr>
                <w:sz w:val="22"/>
              </w:rPr>
              <w:t>If there are no active employees, the plan is terminated and COBRA wil</w:t>
            </w:r>
            <w:r>
              <w:rPr>
                <w:sz w:val="22"/>
              </w:rPr>
              <w:t xml:space="preserve">l not be an option.  </w:t>
            </w:r>
          </w:p>
          <w:p w:rsidR="00E75746" w:rsidRDefault="005D0F02">
            <w:pPr>
              <w:spacing w:after="0" w:line="259" w:lineRule="auto"/>
              <w:ind w:left="0" w:right="0" w:firstLine="0"/>
            </w:pPr>
            <w:r>
              <w:rPr>
                <w:sz w:val="22"/>
              </w:rPr>
              <w:t xml:space="preserve"> </w:t>
            </w:r>
          </w:p>
          <w:p w:rsidR="00E75746" w:rsidRDefault="005D0F02">
            <w:pPr>
              <w:spacing w:after="0" w:line="240" w:lineRule="auto"/>
              <w:ind w:left="0" w:right="0" w:firstLine="0"/>
            </w:pPr>
            <w:r>
              <w:rPr>
                <w:sz w:val="22"/>
              </w:rPr>
              <w:t xml:space="preserve">However, employees will have the option to enroll in individual coverage under a special enrollment period or would have the option to purchase a short-term plan that is subject to medical underwriting.  </w:t>
            </w:r>
          </w:p>
          <w:p w:rsidR="00E75746" w:rsidRDefault="005D0F02">
            <w:pPr>
              <w:spacing w:after="0" w:line="259" w:lineRule="auto"/>
              <w:ind w:left="0" w:right="0" w:firstLine="0"/>
            </w:pPr>
            <w:r>
              <w:rPr>
                <w:sz w:val="22"/>
              </w:rPr>
              <w:t xml:space="preserve"> </w:t>
            </w:r>
          </w:p>
        </w:tc>
        <w:tc>
          <w:tcPr>
            <w:tcW w:w="4321" w:type="dxa"/>
            <w:tcBorders>
              <w:top w:val="single" w:sz="4" w:space="0" w:color="000000"/>
              <w:left w:val="single" w:sz="4" w:space="0" w:color="000000"/>
              <w:bottom w:val="single" w:sz="4" w:space="0" w:color="000000"/>
              <w:right w:val="single" w:sz="4" w:space="0" w:color="000000"/>
            </w:tcBorders>
          </w:tcPr>
          <w:p w:rsidR="00E75746" w:rsidRDefault="005D0F02">
            <w:pPr>
              <w:spacing w:after="1" w:line="240" w:lineRule="auto"/>
              <w:ind w:left="2" w:right="0" w:firstLine="0"/>
            </w:pPr>
            <w:r>
              <w:rPr>
                <w:sz w:val="22"/>
              </w:rPr>
              <w:t>If a customer offers COBR</w:t>
            </w:r>
            <w:r>
              <w:rPr>
                <w:sz w:val="22"/>
              </w:rPr>
              <w:t xml:space="preserve">A and if one person remains actively employed, employees may elect to continue coverage under COBRA by following the normal notice and election procedures.  </w:t>
            </w:r>
          </w:p>
          <w:p w:rsidR="00E75746" w:rsidRDefault="005D0F02">
            <w:pPr>
              <w:spacing w:after="0" w:line="259" w:lineRule="auto"/>
              <w:ind w:left="2" w:right="0" w:firstLine="0"/>
            </w:pPr>
            <w:r>
              <w:rPr>
                <w:sz w:val="22"/>
              </w:rPr>
              <w:t xml:space="preserve"> </w:t>
            </w:r>
          </w:p>
          <w:p w:rsidR="00E75746" w:rsidRDefault="005D0F02">
            <w:pPr>
              <w:spacing w:after="5" w:line="237" w:lineRule="auto"/>
              <w:ind w:left="2" w:right="0" w:firstLine="0"/>
            </w:pPr>
            <w:r>
              <w:rPr>
                <w:sz w:val="22"/>
              </w:rPr>
              <w:t xml:space="preserve">If there are no active employees, the plan is terminated and COBRA will not be an option.  </w:t>
            </w:r>
          </w:p>
          <w:p w:rsidR="00E75746" w:rsidRDefault="005D0F02">
            <w:pPr>
              <w:spacing w:after="0" w:line="259" w:lineRule="auto"/>
              <w:ind w:left="2" w:right="0" w:firstLine="0"/>
            </w:pPr>
            <w:r>
              <w:rPr>
                <w:sz w:val="22"/>
              </w:rPr>
              <w:t xml:space="preserve"> </w:t>
            </w:r>
          </w:p>
          <w:p w:rsidR="00E75746" w:rsidRDefault="005D0F02">
            <w:pPr>
              <w:spacing w:after="0" w:line="240" w:lineRule="auto"/>
              <w:ind w:left="2" w:right="0" w:firstLine="0"/>
            </w:pPr>
            <w:r>
              <w:rPr>
                <w:sz w:val="22"/>
              </w:rPr>
              <w:t xml:space="preserve">However, employees will have the option to enroll in individual coverage under a special enrollment period or would have the option to purchase a short-term plan that is subject to medical underwriting.  </w:t>
            </w:r>
          </w:p>
          <w:p w:rsidR="00E75746" w:rsidRDefault="005D0F02">
            <w:pPr>
              <w:spacing w:after="0" w:line="259" w:lineRule="auto"/>
              <w:ind w:left="2" w:right="0" w:firstLine="0"/>
            </w:pPr>
            <w:r>
              <w:rPr>
                <w:sz w:val="22"/>
              </w:rPr>
              <w:t xml:space="preserve"> </w:t>
            </w:r>
          </w:p>
          <w:p w:rsidR="00E75746" w:rsidRDefault="005D0F02">
            <w:pPr>
              <w:spacing w:after="0" w:line="259" w:lineRule="auto"/>
              <w:ind w:left="2" w:right="0" w:firstLine="0"/>
            </w:pPr>
            <w:r>
              <w:rPr>
                <w:sz w:val="22"/>
              </w:rPr>
              <w:t xml:space="preserve">If Anthem is a customer’s stop loss carrier, </w:t>
            </w:r>
            <w:r>
              <w:rPr>
                <w:sz w:val="22"/>
              </w:rPr>
              <w:t xml:space="preserve">the </w:t>
            </w:r>
            <w:r>
              <w:rPr>
                <w:sz w:val="22"/>
              </w:rPr>
              <w:t xml:space="preserve">policy will terminate if the minimum enrollment of active employees threshold is </w:t>
            </w:r>
            <w:r>
              <w:rPr>
                <w:sz w:val="22"/>
              </w:rPr>
              <w:t xml:space="preserve">not met.  If Anthem is not a customer’s stop </w:t>
            </w:r>
            <w:r>
              <w:rPr>
                <w:sz w:val="22"/>
              </w:rPr>
              <w:t xml:space="preserve">loss carrier, Anthem recommends verifying coverage and minimum enrollment requires with your stop loss carrier. </w:t>
            </w:r>
          </w:p>
        </w:tc>
      </w:tr>
    </w:tbl>
    <w:p w:rsidR="00E75746" w:rsidRDefault="005D0F02">
      <w:pPr>
        <w:spacing w:after="0" w:line="259" w:lineRule="auto"/>
        <w:ind w:left="1076" w:right="0" w:firstLine="0"/>
      </w:pPr>
      <w:r>
        <w:t xml:space="preserve"> </w:t>
      </w:r>
    </w:p>
    <w:p w:rsidR="00E75746" w:rsidRDefault="005D0F02">
      <w:pPr>
        <w:spacing w:after="54" w:line="259" w:lineRule="auto"/>
        <w:ind w:left="1076" w:right="0" w:firstLine="0"/>
      </w:pPr>
      <w:r>
        <w:t xml:space="preserve"> </w:t>
      </w:r>
    </w:p>
    <w:p w:rsidR="00E75746" w:rsidRDefault="005D0F02">
      <w:pPr>
        <w:numPr>
          <w:ilvl w:val="1"/>
          <w:numId w:val="6"/>
        </w:numPr>
        <w:spacing w:after="2" w:line="249" w:lineRule="auto"/>
        <w:ind w:left="1637" w:right="434" w:hanging="576"/>
      </w:pPr>
      <w:r>
        <w:rPr>
          <w:b/>
        </w:rPr>
        <w:t xml:space="preserve">Will my rates/premium be subject to change if enrollment drops by more than 10% as a result of the COVID-19 crisis? </w:t>
      </w:r>
    </w:p>
    <w:p w:rsidR="00E75746" w:rsidRDefault="005D0F02">
      <w:pPr>
        <w:spacing w:after="32"/>
        <w:ind w:left="1071" w:right="449"/>
      </w:pPr>
      <w:r>
        <w:t xml:space="preserve">Effective through May 31, 2020, if the loss of enrollment is a result of the COVID19 crisis, rates and premiums will not change.    </w:t>
      </w:r>
    </w:p>
    <w:p w:rsidR="00E75746" w:rsidRDefault="005D0F02">
      <w:pPr>
        <w:spacing w:after="54" w:line="259" w:lineRule="auto"/>
        <w:ind w:left="1651" w:right="0" w:firstLine="0"/>
      </w:pPr>
      <w:r>
        <w:rPr>
          <w:b/>
        </w:rPr>
        <w:t xml:space="preserve"> </w:t>
      </w:r>
    </w:p>
    <w:p w:rsidR="00E75746" w:rsidRDefault="005D0F02">
      <w:pPr>
        <w:numPr>
          <w:ilvl w:val="1"/>
          <w:numId w:val="6"/>
        </w:numPr>
        <w:spacing w:after="2" w:line="249" w:lineRule="auto"/>
        <w:ind w:left="1637" w:right="434" w:hanging="576"/>
      </w:pPr>
      <w:r>
        <w:rPr>
          <w:b/>
        </w:rPr>
        <w:lastRenderedPageBreak/>
        <w:t>As a</w:t>
      </w:r>
      <w:r>
        <w:rPr>
          <w:b/>
        </w:rPr>
        <w:t xml:space="preserve"> result of the COVID-19 crisis, will Anthem renewal rate actions or quote responses be delayed or impacted?  </w:t>
      </w:r>
    </w:p>
    <w:p w:rsidR="00E75746" w:rsidRDefault="005D0F02">
      <w:pPr>
        <w:ind w:left="1071" w:right="449"/>
      </w:pPr>
      <w:r>
        <w:t xml:space="preserve">Anthem will continue to meet renewal rate actions and / or quote expectations and do not anticipate delays or impacts.  </w:t>
      </w:r>
    </w:p>
    <w:p w:rsidR="00E75746" w:rsidRDefault="005D0F02">
      <w:pPr>
        <w:spacing w:after="59" w:line="259" w:lineRule="auto"/>
        <w:ind w:left="1076" w:right="0" w:firstLine="0"/>
      </w:pPr>
      <w:r>
        <w:t xml:space="preserve"> </w:t>
      </w:r>
    </w:p>
    <w:p w:rsidR="00E75746" w:rsidRDefault="005D0F02">
      <w:pPr>
        <w:numPr>
          <w:ilvl w:val="1"/>
          <w:numId w:val="6"/>
        </w:numPr>
        <w:spacing w:after="2" w:line="249" w:lineRule="auto"/>
        <w:ind w:left="1637" w:right="434" w:hanging="576"/>
      </w:pPr>
      <w:r>
        <w:rPr>
          <w:b/>
        </w:rPr>
        <w:t>If employees are losing</w:t>
      </w:r>
      <w:r>
        <w:rPr>
          <w:b/>
        </w:rPr>
        <w:t xml:space="preserve"> their health insurance coverage due to being </w:t>
      </w:r>
      <w:proofErr w:type="spellStart"/>
      <w:r>
        <w:rPr>
          <w:b/>
        </w:rPr>
        <w:t>laidoff</w:t>
      </w:r>
      <w:proofErr w:type="spellEnd"/>
      <w:r>
        <w:rPr>
          <w:b/>
        </w:rPr>
        <w:t xml:space="preserve">, will Anthem be able to offer coverage options? </w:t>
      </w:r>
      <w:r>
        <w:rPr>
          <w:b/>
        </w:rPr>
        <w:tab/>
        <w:t xml:space="preserve"> </w:t>
      </w:r>
    </w:p>
    <w:p w:rsidR="00E75746" w:rsidRDefault="005D0F02">
      <w:pPr>
        <w:ind w:left="1071" w:right="449"/>
      </w:pPr>
      <w:r>
        <w:t>Anthem recommends employers work with their employees to assess coverage options and eligibility by going to www.healthcare.gov.  Some examples of opti</w:t>
      </w:r>
      <w:r>
        <w:t xml:space="preserve">ons include Medicaid or qualifying event for a special enrollment period for an ACA compliant plan.  If Medicaid or ACA compliant plans are not a fit for your employee, they may also consider a short-term plan if available in their state. </w:t>
      </w:r>
    </w:p>
    <w:p w:rsidR="00E75746" w:rsidRDefault="005D0F02">
      <w:pPr>
        <w:spacing w:after="59" w:line="259" w:lineRule="auto"/>
        <w:ind w:left="1076" w:right="0" w:firstLine="0"/>
      </w:pPr>
      <w:r>
        <w:t xml:space="preserve"> </w:t>
      </w:r>
    </w:p>
    <w:p w:rsidR="00E75746" w:rsidRDefault="005D0F02">
      <w:pPr>
        <w:numPr>
          <w:ilvl w:val="1"/>
          <w:numId w:val="6"/>
        </w:numPr>
        <w:spacing w:after="2" w:line="249" w:lineRule="auto"/>
        <w:ind w:left="1637" w:right="434" w:hanging="576"/>
      </w:pPr>
      <w:r>
        <w:rPr>
          <w:b/>
        </w:rPr>
        <w:t xml:space="preserve">For employees </w:t>
      </w:r>
      <w:r>
        <w:rPr>
          <w:b/>
        </w:rPr>
        <w:t xml:space="preserve">who enroll in an ACA compliant health insurance plan, how quickly will their coverage be effective?  </w:t>
      </w:r>
    </w:p>
    <w:p w:rsidR="00E75746" w:rsidRDefault="005D0F02">
      <w:pPr>
        <w:ind w:left="1071" w:right="449"/>
      </w:pPr>
      <w:r>
        <w:lastRenderedPageBreak/>
        <w:t xml:space="preserve">The qualifying event for the special enrollment period will determine the effective date of coverage.  Please visit </w:t>
      </w:r>
      <w:hyperlink r:id="rId48">
        <w:r>
          <w:rPr>
            <w:color w:val="0000FF"/>
            <w:u w:val="single" w:color="0000FF"/>
          </w:rPr>
          <w:t>www.healthcare.gov</w:t>
        </w:r>
      </w:hyperlink>
      <w:hyperlink r:id="rId49">
        <w:r>
          <w:t xml:space="preserve"> </w:t>
        </w:r>
      </w:hyperlink>
      <w:r>
        <w:t xml:space="preserve">or prospective carrier. Premium subsidies are not available for plans purchased outside of the federal exchange.  </w:t>
      </w:r>
    </w:p>
    <w:p w:rsidR="00E75746" w:rsidRDefault="005D0F02">
      <w:pPr>
        <w:spacing w:after="54" w:line="259" w:lineRule="auto"/>
        <w:ind w:left="1076" w:right="0" w:firstLine="0"/>
      </w:pPr>
      <w:r>
        <w:t xml:space="preserve"> </w:t>
      </w:r>
    </w:p>
    <w:p w:rsidR="00E75746" w:rsidRDefault="005D0F02">
      <w:pPr>
        <w:numPr>
          <w:ilvl w:val="1"/>
          <w:numId w:val="6"/>
        </w:numPr>
        <w:spacing w:after="2" w:line="249" w:lineRule="auto"/>
        <w:ind w:left="1637" w:right="434" w:hanging="576"/>
      </w:pPr>
      <w:r>
        <w:rPr>
          <w:b/>
        </w:rPr>
        <w:t>If employees chose to enroll in a short-term plan, how quickly wil</w:t>
      </w:r>
      <w:r>
        <w:rPr>
          <w:b/>
        </w:rPr>
        <w:t xml:space="preserve">l their coverage be effective?  </w:t>
      </w:r>
    </w:p>
    <w:p w:rsidR="00E75746" w:rsidRDefault="005D0F02">
      <w:pPr>
        <w:ind w:left="1071" w:right="449"/>
      </w:pPr>
      <w:r>
        <w:t xml:space="preserve">Short-term plans, where available, will typically be reviewed and approved by the </w:t>
      </w:r>
      <w:r>
        <w:t>plan’s underwriters and will be effective the day aft</w:t>
      </w:r>
      <w:r>
        <w:t xml:space="preserve">er formal underwriting approval. </w:t>
      </w:r>
    </w:p>
    <w:p w:rsidR="00E75746" w:rsidRDefault="005D0F02">
      <w:pPr>
        <w:spacing w:after="54" w:line="259" w:lineRule="auto"/>
        <w:ind w:left="1076" w:right="0" w:firstLine="0"/>
      </w:pPr>
      <w:r>
        <w:t xml:space="preserve"> </w:t>
      </w:r>
    </w:p>
    <w:p w:rsidR="00E75746" w:rsidRDefault="005D0F02">
      <w:pPr>
        <w:numPr>
          <w:ilvl w:val="1"/>
          <w:numId w:val="6"/>
        </w:numPr>
        <w:spacing w:after="2" w:line="249" w:lineRule="auto"/>
        <w:ind w:left="1637" w:right="434" w:hanging="576"/>
      </w:pPr>
      <w:r>
        <w:rPr>
          <w:b/>
        </w:rPr>
        <w:t>If temporarily laid-off employees return to work, wi</w:t>
      </w:r>
      <w:r>
        <w:rPr>
          <w:b/>
        </w:rPr>
        <w:t xml:space="preserve">ll they be eligible to obtain coverage without a waiting period?  </w:t>
      </w:r>
    </w:p>
    <w:p w:rsidR="00E75746" w:rsidRDefault="005D0F02">
      <w:pPr>
        <w:ind w:left="1071" w:right="449"/>
      </w:pPr>
      <w:r>
        <w:t xml:space="preserve">Employees rehired by May 31, 2020 will not be subject to a waiting period.     </w:t>
      </w:r>
    </w:p>
    <w:p w:rsidR="00E75746" w:rsidRDefault="005D0F02">
      <w:pPr>
        <w:spacing w:after="0" w:line="259" w:lineRule="auto"/>
        <w:ind w:left="1076" w:right="0" w:firstLine="0"/>
      </w:pPr>
      <w:r>
        <w:t xml:space="preserve"> </w:t>
      </w:r>
    </w:p>
    <w:tbl>
      <w:tblPr>
        <w:tblStyle w:val="TableGrid"/>
        <w:tblW w:w="9592" w:type="dxa"/>
        <w:tblInd w:w="962" w:type="dxa"/>
        <w:tblCellMar>
          <w:top w:w="88" w:type="dxa"/>
          <w:left w:w="115" w:type="dxa"/>
          <w:bottom w:w="0" w:type="dxa"/>
          <w:right w:w="115" w:type="dxa"/>
        </w:tblCellMar>
        <w:tblLook w:val="04A0" w:firstRow="1" w:lastRow="0" w:firstColumn="1" w:lastColumn="0" w:noHBand="0" w:noVBand="1"/>
      </w:tblPr>
      <w:tblGrid>
        <w:gridCol w:w="9592"/>
      </w:tblGrid>
      <w:tr w:rsidR="00E75746">
        <w:trPr>
          <w:trHeight w:val="438"/>
        </w:trPr>
        <w:tc>
          <w:tcPr>
            <w:tcW w:w="9592" w:type="dxa"/>
            <w:tcBorders>
              <w:top w:val="single" w:sz="4" w:space="0" w:color="000000"/>
              <w:left w:val="single" w:sz="4" w:space="0" w:color="000000"/>
              <w:bottom w:val="single" w:sz="4" w:space="0" w:color="000000"/>
              <w:right w:val="single" w:sz="4" w:space="0" w:color="000000"/>
            </w:tcBorders>
            <w:shd w:val="clear" w:color="auto" w:fill="D9D9D9"/>
          </w:tcPr>
          <w:p w:rsidR="00E75746" w:rsidRDefault="005D0F02">
            <w:pPr>
              <w:spacing w:after="0" w:line="259" w:lineRule="auto"/>
              <w:ind w:left="5" w:right="0" w:firstLine="0"/>
              <w:jc w:val="center"/>
            </w:pPr>
            <w:r>
              <w:rPr>
                <w:noProof/>
              </w:rPr>
              <w:drawing>
                <wp:inline distT="0" distB="0" distL="0" distR="0">
                  <wp:extent cx="98425" cy="146050"/>
                  <wp:effectExtent l="0" t="0" r="0" b="0"/>
                  <wp:docPr id="1821" name="Picture 1821"/>
                  <wp:cNvGraphicFramePr/>
                  <a:graphic xmlns:a="http://schemas.openxmlformats.org/drawingml/2006/main">
                    <a:graphicData uri="http://schemas.openxmlformats.org/drawingml/2006/picture">
                      <pic:pic xmlns:pic="http://schemas.openxmlformats.org/drawingml/2006/picture">
                        <pic:nvPicPr>
                          <pic:cNvPr id="1821" name="Picture 1821"/>
                          <pic:cNvPicPr/>
                        </pic:nvPicPr>
                        <pic:blipFill>
                          <a:blip r:embed="rId50"/>
                          <a:stretch>
                            <a:fillRect/>
                          </a:stretch>
                        </pic:blipFill>
                        <pic:spPr>
                          <a:xfrm>
                            <a:off x="0" y="0"/>
                            <a:ext cx="98425" cy="146050"/>
                          </a:xfrm>
                          <a:prstGeom prst="rect">
                            <a:avLst/>
                          </a:prstGeom>
                        </pic:spPr>
                      </pic:pic>
                    </a:graphicData>
                  </a:graphic>
                </wp:inline>
              </w:drawing>
            </w:r>
            <w:r>
              <w:rPr>
                <w:rFonts w:ascii="Arial" w:eastAsia="Arial" w:hAnsi="Arial" w:cs="Arial"/>
                <w:sz w:val="32"/>
              </w:rPr>
              <w:t xml:space="preserve"> </w:t>
            </w:r>
            <w:r>
              <w:rPr>
                <w:sz w:val="32"/>
              </w:rPr>
              <w:t xml:space="preserve">Life and Disability Questions </w:t>
            </w:r>
          </w:p>
        </w:tc>
      </w:tr>
    </w:tbl>
    <w:p w:rsidR="00E75746" w:rsidRDefault="005D0F02">
      <w:pPr>
        <w:spacing w:after="54" w:line="259" w:lineRule="auto"/>
        <w:ind w:left="1076" w:right="0" w:firstLine="0"/>
      </w:pPr>
      <w:r>
        <w:t xml:space="preserve"> </w:t>
      </w:r>
    </w:p>
    <w:p w:rsidR="00E75746" w:rsidRDefault="005D0F02">
      <w:pPr>
        <w:spacing w:after="2" w:line="249" w:lineRule="auto"/>
        <w:ind w:left="1647" w:right="434" w:hanging="586"/>
      </w:pPr>
      <w:r>
        <w:rPr>
          <w:b/>
        </w:rPr>
        <w:t>7.1</w:t>
      </w:r>
      <w:r>
        <w:rPr>
          <w:rFonts w:ascii="Arial" w:eastAsia="Arial" w:hAnsi="Arial" w:cs="Arial"/>
          <w:b/>
        </w:rPr>
        <w:t xml:space="preserve"> </w:t>
      </w:r>
      <w:r>
        <w:rPr>
          <w:b/>
        </w:rPr>
        <w:t xml:space="preserve">How does the Centers for Disease Control and Prevention define Quarantine and Isolation?  </w:t>
      </w:r>
    </w:p>
    <w:p w:rsidR="00E75746" w:rsidRDefault="005D0F02">
      <w:pPr>
        <w:spacing w:after="51"/>
        <w:ind w:left="1071" w:right="449"/>
      </w:pPr>
      <w:r>
        <w:lastRenderedPageBreak/>
        <w:t xml:space="preserve">Isolation and quarantine help protect the public by preventing exposure to people who have or may have a contagious disease. </w:t>
      </w:r>
    </w:p>
    <w:p w:rsidR="00E75746" w:rsidRDefault="005D0F02">
      <w:pPr>
        <w:numPr>
          <w:ilvl w:val="0"/>
          <w:numId w:val="2"/>
        </w:numPr>
        <w:ind w:right="449" w:hanging="360"/>
      </w:pPr>
      <w:r>
        <w:t xml:space="preserve">Isolation separates sick people with a contagious disease from people who are not sick. </w:t>
      </w:r>
    </w:p>
    <w:p w:rsidR="00E75746" w:rsidRDefault="005D0F02">
      <w:pPr>
        <w:numPr>
          <w:ilvl w:val="0"/>
          <w:numId w:val="2"/>
        </w:numPr>
        <w:ind w:right="449" w:hanging="360"/>
      </w:pPr>
      <w:r>
        <w:t xml:space="preserve">Quarantine separates and restricts the movement of people who were exposed to a contagious disease to see if they become sick. </w:t>
      </w:r>
    </w:p>
    <w:p w:rsidR="00E75746" w:rsidRDefault="005D0F02">
      <w:pPr>
        <w:spacing w:after="54" w:line="259" w:lineRule="auto"/>
        <w:ind w:left="1076" w:right="0" w:firstLine="0"/>
      </w:pPr>
      <w:r>
        <w:t xml:space="preserve"> </w:t>
      </w:r>
    </w:p>
    <w:p w:rsidR="00E75746" w:rsidRDefault="005D0F02">
      <w:pPr>
        <w:numPr>
          <w:ilvl w:val="1"/>
          <w:numId w:val="4"/>
        </w:numPr>
        <w:spacing w:after="2" w:line="249" w:lineRule="auto"/>
        <w:ind w:left="1637" w:right="434" w:hanging="576"/>
      </w:pPr>
      <w:r>
        <w:rPr>
          <w:b/>
        </w:rPr>
        <w:t xml:space="preserve">Is an individual who is quarantined but not sick or diagnosed with COVID19 considered disabled?  </w:t>
      </w:r>
    </w:p>
    <w:p w:rsidR="00E75746" w:rsidRDefault="005D0F02">
      <w:pPr>
        <w:ind w:left="1071" w:right="449"/>
      </w:pPr>
      <w:r>
        <w:t>Generally, we do not consider quarantined workers to be disabled unless they have a medical condition that results in restrictions and limitations that satisf</w:t>
      </w:r>
      <w:r>
        <w:t xml:space="preserve">y a </w:t>
      </w:r>
      <w:r>
        <w:t>policy’s definition of disability. Employees who have been diagnosed with COVID</w:t>
      </w:r>
      <w:r>
        <w:t>19 and are unable to work will be evaluated like any other injury or illness under the contract, with clinical support/proof of disability required.  All contract provisions</w:t>
      </w:r>
      <w:r>
        <w:t xml:space="preserve"> apply. </w:t>
      </w:r>
    </w:p>
    <w:p w:rsidR="00E75746" w:rsidRDefault="005D0F02">
      <w:pPr>
        <w:spacing w:after="0" w:line="259" w:lineRule="auto"/>
        <w:ind w:left="1076" w:right="0" w:firstLine="0"/>
      </w:pPr>
      <w:r>
        <w:t xml:space="preserve"> </w:t>
      </w:r>
    </w:p>
    <w:p w:rsidR="00E75746" w:rsidRDefault="005D0F02">
      <w:pPr>
        <w:numPr>
          <w:ilvl w:val="1"/>
          <w:numId w:val="4"/>
        </w:numPr>
        <w:ind w:left="1637" w:right="434" w:hanging="576"/>
      </w:pPr>
      <w:r>
        <w:rPr>
          <w:b/>
        </w:rPr>
        <w:lastRenderedPageBreak/>
        <w:t xml:space="preserve">Can employees continue their group disability or group life coverage if their employer closes their facility and employees are unable to work?   </w:t>
      </w:r>
      <w:r>
        <w:t>Depending upon each group policy, coverage may continue but will be subject to the terms outlined in</w:t>
      </w:r>
      <w:r>
        <w:t xml:space="preserve"> the policy that relate to temporary layoffs and leaves of absence.  Furloughs will be similarly considered. For continuance of coverage, premium must continue to be paid, without interruption. </w:t>
      </w:r>
    </w:p>
    <w:p w:rsidR="00E75746" w:rsidRDefault="005D0F02">
      <w:pPr>
        <w:spacing w:after="59" w:line="259" w:lineRule="auto"/>
        <w:ind w:left="1076" w:right="0" w:firstLine="0"/>
      </w:pPr>
      <w:r>
        <w:t xml:space="preserve"> </w:t>
      </w:r>
    </w:p>
    <w:p w:rsidR="00E75746" w:rsidRDefault="005D0F02">
      <w:pPr>
        <w:numPr>
          <w:ilvl w:val="1"/>
          <w:numId w:val="4"/>
        </w:numPr>
        <w:spacing w:after="2" w:line="249" w:lineRule="auto"/>
        <w:ind w:left="1637" w:right="434" w:hanging="576"/>
      </w:pPr>
      <w:r>
        <w:rPr>
          <w:b/>
        </w:rPr>
        <w:t>Do Anthem’s Life, Disability, FMLA/Absence, or Supplemental</w:t>
      </w:r>
      <w:r>
        <w:rPr>
          <w:b/>
        </w:rPr>
        <w:t xml:space="preserve"> Health products and services cover COVID-19 related claims? </w:t>
      </w:r>
    </w:p>
    <w:p w:rsidR="00E75746" w:rsidRDefault="005D0F02">
      <w:pPr>
        <w:ind w:left="1071" w:right="449"/>
      </w:pPr>
      <w:r>
        <w:t xml:space="preserve">Some Anthem products cover COVID-19 related claims and will be subject to the provisions in our policies and service agreements.   </w:t>
      </w:r>
    </w:p>
    <w:p w:rsidR="00E75746" w:rsidRDefault="005D0F02">
      <w:pPr>
        <w:spacing w:after="59" w:line="259" w:lineRule="auto"/>
        <w:ind w:left="1076" w:right="0" w:firstLine="0"/>
      </w:pPr>
      <w:r>
        <w:t xml:space="preserve"> </w:t>
      </w:r>
    </w:p>
    <w:p w:rsidR="00E75746" w:rsidRDefault="005D0F02">
      <w:pPr>
        <w:numPr>
          <w:ilvl w:val="1"/>
          <w:numId w:val="4"/>
        </w:numPr>
        <w:spacing w:after="2" w:line="249" w:lineRule="auto"/>
        <w:ind w:left="1637" w:right="434" w:hanging="576"/>
      </w:pPr>
      <w:r>
        <w:rPr>
          <w:b/>
        </w:rPr>
        <w:t xml:space="preserve">What is considered a serious health condition? </w:t>
      </w:r>
    </w:p>
    <w:p w:rsidR="00E75746" w:rsidRDefault="005D0F02">
      <w:pPr>
        <w:ind w:left="1071" w:right="449"/>
      </w:pPr>
      <w:r>
        <w:t>The Family M</w:t>
      </w:r>
      <w:r>
        <w:t xml:space="preserve">edical Leave Act defines serious health condition as "an illness, injury, impairment, or physical or mental </w:t>
      </w:r>
      <w:r>
        <w:lastRenderedPageBreak/>
        <w:t xml:space="preserve">condition that involves: inpatient care in a hospital, hospice, or residential medical care facility; or continuing treatment by a health care </w:t>
      </w:r>
      <w:r>
        <w:t>provi</w:t>
      </w:r>
      <w:r>
        <w:t>der.”</w:t>
      </w:r>
      <w:r>
        <w:t xml:space="preserve"> </w:t>
      </w:r>
    </w:p>
    <w:p w:rsidR="00E75746" w:rsidRDefault="005D0F02">
      <w:pPr>
        <w:spacing w:after="59" w:line="259" w:lineRule="auto"/>
        <w:ind w:left="1076" w:right="0" w:firstLine="0"/>
      </w:pPr>
      <w:r>
        <w:t xml:space="preserve"> </w:t>
      </w:r>
    </w:p>
    <w:p w:rsidR="00E75746" w:rsidRDefault="005D0F02">
      <w:pPr>
        <w:numPr>
          <w:ilvl w:val="1"/>
          <w:numId w:val="4"/>
        </w:numPr>
        <w:spacing w:after="46" w:line="249" w:lineRule="auto"/>
        <w:ind w:left="1637" w:right="434" w:hanging="576"/>
      </w:pPr>
      <w:r>
        <w:rPr>
          <w:b/>
        </w:rPr>
        <w:t xml:space="preserve">What happens if an employer closes their facility and employees are unable to work? </w:t>
      </w:r>
    </w:p>
    <w:p w:rsidR="00E75746" w:rsidRDefault="005D0F02">
      <w:pPr>
        <w:numPr>
          <w:ilvl w:val="0"/>
          <w:numId w:val="2"/>
        </w:numPr>
        <w:spacing w:after="45"/>
        <w:ind w:right="449" w:hanging="360"/>
      </w:pPr>
      <w:r>
        <w:t xml:space="preserve">Employers who decide to close are responsible for decisions about wages/salary payment;  </w:t>
      </w:r>
    </w:p>
    <w:p w:rsidR="00E75746" w:rsidRDefault="005D0F02">
      <w:pPr>
        <w:numPr>
          <w:ilvl w:val="0"/>
          <w:numId w:val="2"/>
        </w:numPr>
        <w:spacing w:line="240" w:lineRule="auto"/>
        <w:ind w:right="449" w:hanging="360"/>
      </w:pPr>
      <w:r>
        <w:t>Employees who are unable to work solely as a result of their employer’s</w:t>
      </w:r>
      <w:r>
        <w:t xml:space="preserve"> </w:t>
      </w:r>
      <w:r>
        <w:t xml:space="preserve">decision to close a facility would not meet the definition of “serious health condition” under the FMLA law.  </w:t>
      </w:r>
      <w:r>
        <w:t xml:space="preserve"> </w:t>
      </w:r>
    </w:p>
    <w:p w:rsidR="00E75746" w:rsidRDefault="005D0F02">
      <w:pPr>
        <w:numPr>
          <w:ilvl w:val="1"/>
          <w:numId w:val="5"/>
        </w:numPr>
        <w:ind w:left="1637" w:right="434" w:hanging="576"/>
      </w:pPr>
      <w:r>
        <w:rPr>
          <w:b/>
        </w:rPr>
        <w:t xml:space="preserve">Does Anthem administer any state paid leave programs? </w:t>
      </w:r>
      <w:r>
        <w:t>We administer the New York Paid Family Leave program for many of our customers that have N</w:t>
      </w:r>
      <w:r>
        <w:t xml:space="preserve">ew York-based employees. </w:t>
      </w:r>
    </w:p>
    <w:p w:rsidR="00E75746" w:rsidRDefault="005D0F02">
      <w:pPr>
        <w:spacing w:after="59" w:line="259" w:lineRule="auto"/>
        <w:ind w:left="1076" w:right="0" w:firstLine="0"/>
      </w:pPr>
      <w:r>
        <w:t xml:space="preserve"> </w:t>
      </w:r>
    </w:p>
    <w:p w:rsidR="00E75746" w:rsidRDefault="005D0F02">
      <w:pPr>
        <w:numPr>
          <w:ilvl w:val="1"/>
          <w:numId w:val="5"/>
        </w:numPr>
        <w:spacing w:after="0" w:line="249" w:lineRule="auto"/>
        <w:ind w:left="1637" w:right="434" w:hanging="576"/>
      </w:pPr>
      <w:r>
        <w:rPr>
          <w:b/>
        </w:rPr>
        <w:t xml:space="preserve">Is death from COVID-19 covered by Anthem’s group life plans? </w:t>
      </w:r>
    </w:p>
    <w:p w:rsidR="00E75746" w:rsidRDefault="005D0F02">
      <w:pPr>
        <w:ind w:left="1071" w:right="449"/>
      </w:pPr>
      <w:r>
        <w:t xml:space="preserve">Each life claim is evaluated individually in accordance to the policy. Anthem’s Life </w:t>
      </w:r>
      <w:r>
        <w:t>coverage does not have any ex</w:t>
      </w:r>
      <w:r>
        <w:lastRenderedPageBreak/>
        <w:t xml:space="preserve">clusions. Our supplemental and voluntary life plans </w:t>
      </w:r>
      <w:r>
        <w:t>ge</w:t>
      </w:r>
      <w:r>
        <w:t xml:space="preserve">nerally only exclude suicide within two years of the employee’s effective date </w:t>
      </w:r>
      <w:r>
        <w:t xml:space="preserve">(in Missouri, one year). A life claim for death from COVID-19 will be evaluated the same as any other infectious disease. </w:t>
      </w:r>
    </w:p>
    <w:p w:rsidR="00E75746" w:rsidRDefault="005D0F02">
      <w:pPr>
        <w:spacing w:after="54" w:line="259" w:lineRule="auto"/>
        <w:ind w:left="1076" w:right="0" w:firstLine="0"/>
      </w:pPr>
      <w:r>
        <w:t xml:space="preserve"> </w:t>
      </w:r>
    </w:p>
    <w:p w:rsidR="00E75746" w:rsidRDefault="005D0F02">
      <w:pPr>
        <w:numPr>
          <w:ilvl w:val="1"/>
          <w:numId w:val="5"/>
        </w:numPr>
        <w:spacing w:after="45" w:line="249" w:lineRule="auto"/>
        <w:ind w:left="1637" w:right="434" w:hanging="576"/>
      </w:pPr>
      <w:r>
        <w:rPr>
          <w:b/>
        </w:rPr>
        <w:t>Is isolation or quarantine considered a disability</w:t>
      </w:r>
      <w:r>
        <w:rPr>
          <w:b/>
        </w:rPr>
        <w:t xml:space="preserve"> under Anthem’s life insurance premium of waiver provisions? </w:t>
      </w:r>
    </w:p>
    <w:p w:rsidR="00E75746" w:rsidRDefault="005D0F02">
      <w:pPr>
        <w:numPr>
          <w:ilvl w:val="0"/>
          <w:numId w:val="2"/>
        </w:numPr>
        <w:spacing w:after="45"/>
        <w:ind w:right="449" w:hanging="360"/>
      </w:pPr>
      <w:r>
        <w:t xml:space="preserve">For </w:t>
      </w:r>
      <w:r>
        <w:rPr>
          <w:u w:val="single" w:color="000000"/>
        </w:rPr>
        <w:t>fully insured groups</w:t>
      </w:r>
      <w:r>
        <w:t>, each case will be reviewed on its own merit, subject to the policy provisions of the disability or life policy. Employees who self-quarantine but are not diagnosed with</w:t>
      </w:r>
      <w:r>
        <w:t xml:space="preserve"> COVID-19 will not be covered. </w:t>
      </w:r>
    </w:p>
    <w:p w:rsidR="00E75746" w:rsidRDefault="005D0F02">
      <w:pPr>
        <w:numPr>
          <w:ilvl w:val="0"/>
          <w:numId w:val="2"/>
        </w:numPr>
        <w:ind w:right="449" w:hanging="360"/>
      </w:pPr>
      <w:r>
        <w:t xml:space="preserve">For </w:t>
      </w:r>
      <w:r>
        <w:rPr>
          <w:u w:val="single" w:color="000000"/>
        </w:rPr>
        <w:t>self-insured groups</w:t>
      </w:r>
      <w:r>
        <w:t xml:space="preserve">, we will coordinate with the policyholder. </w:t>
      </w:r>
    </w:p>
    <w:p w:rsidR="00E75746" w:rsidRDefault="005D0F02">
      <w:pPr>
        <w:spacing w:after="54" w:line="259" w:lineRule="auto"/>
        <w:ind w:left="1076" w:right="0" w:firstLine="0"/>
      </w:pPr>
      <w:r>
        <w:t xml:space="preserve"> </w:t>
      </w:r>
    </w:p>
    <w:p w:rsidR="00E75746" w:rsidRDefault="005D0F02">
      <w:pPr>
        <w:numPr>
          <w:ilvl w:val="1"/>
          <w:numId w:val="7"/>
        </w:numPr>
        <w:spacing w:after="2" w:line="249" w:lineRule="auto"/>
        <w:ind w:left="1637" w:right="434" w:hanging="576"/>
      </w:pPr>
      <w:r>
        <w:rPr>
          <w:b/>
        </w:rPr>
        <w:t xml:space="preserve">Can employees continue their group life coverage if their employer closes their facility and employees are unable to work?  </w:t>
      </w:r>
    </w:p>
    <w:p w:rsidR="00E75746" w:rsidRDefault="005D0F02">
      <w:pPr>
        <w:ind w:left="1071" w:right="449"/>
      </w:pPr>
      <w:r>
        <w:t xml:space="preserve">Depending upon each group policy, coverage may continue but will be subject to the terms outlined in the policy that </w:t>
      </w:r>
      <w:r>
        <w:lastRenderedPageBreak/>
        <w:t xml:space="preserve">relate to temporary layoffs and leaves of absence. Furloughs will be similarly considered.  </w:t>
      </w:r>
    </w:p>
    <w:p w:rsidR="00E75746" w:rsidRDefault="005D0F02">
      <w:pPr>
        <w:spacing w:after="54" w:line="259" w:lineRule="auto"/>
        <w:ind w:left="1076" w:right="0" w:firstLine="0"/>
      </w:pPr>
      <w:r>
        <w:rPr>
          <w:b/>
        </w:rPr>
        <w:t xml:space="preserve"> </w:t>
      </w:r>
    </w:p>
    <w:p w:rsidR="00E75746" w:rsidRDefault="005D0F02">
      <w:pPr>
        <w:numPr>
          <w:ilvl w:val="1"/>
          <w:numId w:val="7"/>
        </w:numPr>
        <w:spacing w:after="2" w:line="249" w:lineRule="auto"/>
        <w:ind w:left="1637" w:right="434" w:hanging="576"/>
      </w:pPr>
      <w:r>
        <w:rPr>
          <w:b/>
        </w:rPr>
        <w:t>Is Accidental Death &amp; Dismemberment coverage</w:t>
      </w:r>
      <w:r>
        <w:rPr>
          <w:b/>
        </w:rPr>
        <w:t xml:space="preserve"> affected by COVID 19 related deaths?  </w:t>
      </w:r>
    </w:p>
    <w:p w:rsidR="00E75746" w:rsidRDefault="005D0F02">
      <w:pPr>
        <w:spacing w:after="51"/>
        <w:ind w:left="1071" w:right="449"/>
      </w:pPr>
      <w:r>
        <w:t xml:space="preserve">No, coverage does not apply to a COVID-19 diagnosis. For continuance of coverage, premium must continue to be paid, without interruption. </w:t>
      </w:r>
    </w:p>
    <w:p w:rsidR="00E75746" w:rsidRDefault="005D0F02">
      <w:pPr>
        <w:numPr>
          <w:ilvl w:val="0"/>
          <w:numId w:val="2"/>
        </w:numPr>
        <w:spacing w:after="46"/>
        <w:ind w:right="449" w:hanging="360"/>
      </w:pPr>
      <w:r>
        <w:t>Accident products: Typically, accident products would not provide benefits fo</w:t>
      </w:r>
      <w:r>
        <w:t xml:space="preserve">r the diagnosis or treatment of COVID-19. </w:t>
      </w:r>
    </w:p>
    <w:p w:rsidR="00E75746" w:rsidRDefault="005D0F02">
      <w:pPr>
        <w:numPr>
          <w:ilvl w:val="0"/>
          <w:numId w:val="2"/>
        </w:numPr>
        <w:spacing w:after="50"/>
        <w:ind w:right="449" w:hanging="360"/>
      </w:pPr>
      <w:r>
        <w:t xml:space="preserve">Hospital Indemnity products: There are no policy limitations associated with hospitalization due to a diagnosis of COVID-19.  All other provisions of the policy must be met.  </w:t>
      </w:r>
    </w:p>
    <w:p w:rsidR="00E75746" w:rsidRDefault="005D0F02">
      <w:pPr>
        <w:numPr>
          <w:ilvl w:val="0"/>
          <w:numId w:val="2"/>
        </w:numPr>
        <w:ind w:right="449" w:hanging="360"/>
      </w:pPr>
      <w:r>
        <w:t>Critical Illness products: COVID-19 i</w:t>
      </w:r>
      <w:r>
        <w:t xml:space="preserve">s not considered a covered condition under our Critical Illness products. </w:t>
      </w:r>
    </w:p>
    <w:sectPr w:rsidR="00E75746">
      <w:footerReference w:type="even" r:id="rId51"/>
      <w:footerReference w:type="default" r:id="rId52"/>
      <w:footerReference w:type="first" r:id="rId53"/>
      <w:pgSz w:w="12245" w:h="15845"/>
      <w:pgMar w:top="1448" w:right="992" w:bottom="162" w:left="36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D0F02">
      <w:pPr>
        <w:spacing w:after="0" w:line="240" w:lineRule="auto"/>
      </w:pPr>
      <w:r>
        <w:separator/>
      </w:r>
    </w:p>
  </w:endnote>
  <w:endnote w:type="continuationSeparator" w:id="0">
    <w:p w:rsidR="00000000" w:rsidRDefault="005D0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746" w:rsidRDefault="005D0F02">
    <w:pPr>
      <w:spacing w:after="0" w:line="259" w:lineRule="auto"/>
      <w:ind w:left="0" w:right="444"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E75746" w:rsidRDefault="005D0F02">
    <w:pPr>
      <w:spacing w:after="0" w:line="259" w:lineRule="auto"/>
      <w:ind w:left="1076" w:righ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746" w:rsidRDefault="005D0F02">
    <w:pPr>
      <w:spacing w:after="0" w:line="259" w:lineRule="auto"/>
      <w:ind w:left="0" w:right="444" w:firstLine="0"/>
      <w:jc w:val="right"/>
    </w:pPr>
    <w:r>
      <w:fldChar w:fldCharType="begin"/>
    </w:r>
    <w:r>
      <w:instrText xml:space="preserve"> PAGE   \* MERGEFORMAT </w:instrText>
    </w:r>
    <w:r>
      <w:fldChar w:fldCharType="separate"/>
    </w:r>
    <w:r w:rsidRPr="005D0F02">
      <w:rPr>
        <w:noProof/>
        <w:sz w:val="22"/>
      </w:rPr>
      <w:t>17</w:t>
    </w:r>
    <w:r>
      <w:rPr>
        <w:sz w:val="22"/>
      </w:rPr>
      <w:fldChar w:fldCharType="end"/>
    </w:r>
    <w:r>
      <w:rPr>
        <w:sz w:val="22"/>
      </w:rPr>
      <w:t xml:space="preserve"> </w:t>
    </w:r>
  </w:p>
  <w:p w:rsidR="00E75746" w:rsidRDefault="005D0F02">
    <w:pPr>
      <w:spacing w:after="0" w:line="259" w:lineRule="auto"/>
      <w:ind w:left="1076" w:righ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746" w:rsidRDefault="00E75746">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D0F02">
      <w:pPr>
        <w:spacing w:after="0" w:line="240" w:lineRule="auto"/>
      </w:pPr>
      <w:r>
        <w:separator/>
      </w:r>
    </w:p>
  </w:footnote>
  <w:footnote w:type="continuationSeparator" w:id="0">
    <w:p w:rsidR="00000000" w:rsidRDefault="005D0F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D4B3C"/>
    <w:multiLevelType w:val="multilevel"/>
    <w:tmpl w:val="095ED7E8"/>
    <w:lvl w:ilvl="0">
      <w:start w:val="7"/>
      <w:numFmt w:val="decimal"/>
      <w:lvlText w:val="%1"/>
      <w:lvlJc w:val="left"/>
      <w:pPr>
        <w:ind w:left="3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163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6172F05"/>
    <w:multiLevelType w:val="hybridMultilevel"/>
    <w:tmpl w:val="0DA858A2"/>
    <w:lvl w:ilvl="0" w:tplc="CC8A5934">
      <w:start w:val="1"/>
      <w:numFmt w:val="bullet"/>
      <w:lvlText w:val="•"/>
      <w:lvlJc w:val="left"/>
      <w:pPr>
        <w:ind w:left="17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302A38">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EE23E9C">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9C6C020">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E9E8064">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30901C">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4A672D6">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6780348">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6CEC1A6">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B5C493A"/>
    <w:multiLevelType w:val="multilevel"/>
    <w:tmpl w:val="D2243E98"/>
    <w:lvl w:ilvl="0">
      <w:start w:val="5"/>
      <w:numFmt w:val="decimal"/>
      <w:lvlText w:val="%1"/>
      <w:lvlJc w:val="left"/>
      <w:pPr>
        <w:ind w:left="3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78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DCF4040"/>
    <w:multiLevelType w:val="hybridMultilevel"/>
    <w:tmpl w:val="1BF29812"/>
    <w:lvl w:ilvl="0" w:tplc="945E7CA2">
      <w:start w:val="1"/>
      <w:numFmt w:val="bullet"/>
      <w:lvlText w:val="•"/>
      <w:lvlJc w:val="left"/>
      <w:pPr>
        <w:ind w:left="14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2E6E418">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C96DC9A">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90867EA">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4F6523A">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AB2964E">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0A29910">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30012A4">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E6C27FE">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DCF44FF"/>
    <w:multiLevelType w:val="multilevel"/>
    <w:tmpl w:val="74BE2EE0"/>
    <w:lvl w:ilvl="0">
      <w:start w:val="7"/>
      <w:numFmt w:val="decimal"/>
      <w:lvlText w:val="%1"/>
      <w:lvlJc w:val="left"/>
      <w:pPr>
        <w:ind w:left="3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163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3D66EA0"/>
    <w:multiLevelType w:val="multilevel"/>
    <w:tmpl w:val="8DA2FE44"/>
    <w:lvl w:ilvl="0">
      <w:start w:val="6"/>
      <w:numFmt w:val="decimal"/>
      <w:lvlText w:val="%1"/>
      <w:lvlJc w:val="left"/>
      <w:pPr>
        <w:ind w:left="3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63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8F12533"/>
    <w:multiLevelType w:val="multilevel"/>
    <w:tmpl w:val="8FC01C14"/>
    <w:lvl w:ilvl="0">
      <w:start w:val="7"/>
      <w:numFmt w:val="decimal"/>
      <w:lvlText w:val="%1"/>
      <w:lvlJc w:val="left"/>
      <w:pPr>
        <w:ind w:left="3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63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46"/>
    <w:rsid w:val="005D0F02"/>
    <w:rsid w:val="00E7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6C51"/>
  <w15:docId w15:val="{96DB88BF-78D2-4079-A048-786F39AC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0" w:lineRule="auto"/>
      <w:ind w:left="1086" w:right="498" w:hanging="10"/>
    </w:pPr>
    <w:rPr>
      <w:rFonts w:ascii="Calibri" w:eastAsia="Calibri" w:hAnsi="Calibri" w:cs="Calibri"/>
      <w:color w:val="000000"/>
      <w:sz w:val="28"/>
    </w:rPr>
  </w:style>
  <w:style w:type="paragraph" w:styleId="Heading1">
    <w:name w:val="heading 1"/>
    <w:next w:val="Normal"/>
    <w:link w:val="Heading1Char"/>
    <w:uiPriority w:val="9"/>
    <w:unhideWhenUsed/>
    <w:qFormat/>
    <w:pPr>
      <w:keepNext/>
      <w:keepLines/>
      <w:spacing w:after="328"/>
      <w:ind w:left="1076"/>
      <w:outlineLvl w:val="0"/>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0.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s://www.cdc.gov/nchs/data/icd/ICD-10-CM-Official-Coding-Gudance-Interim-Advice-coronavirus-feb-20-2020.pdf" TargetMode="External"/><Relationship Id="rId21" Type="http://schemas.openxmlformats.org/officeDocument/2006/relationships/image" Target="media/image9.png"/><Relationship Id="rId34" Type="http://schemas.openxmlformats.org/officeDocument/2006/relationships/hyperlink" Target="https://www.cdc.gov/coronavirus/2019-ncov/php/pandemic-preparedness-resources.html" TargetMode="External"/><Relationship Id="rId42" Type="http://schemas.openxmlformats.org/officeDocument/2006/relationships/hyperlink" Target="http://www.livehealthonline.com/" TargetMode="External"/><Relationship Id="rId47" Type="http://schemas.openxmlformats.org/officeDocument/2006/relationships/image" Target="media/image17.png"/><Relationship Id="rId50" Type="http://schemas.openxmlformats.org/officeDocument/2006/relationships/image" Target="media/image18.png"/><Relationship Id="rId55"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image" Target="media/image50.png"/><Relationship Id="rId25" Type="http://schemas.openxmlformats.org/officeDocument/2006/relationships/image" Target="media/image90.png"/><Relationship Id="rId33" Type="http://schemas.openxmlformats.org/officeDocument/2006/relationships/hyperlink" Target="https://www.cdc.gov/coronavirus/2019-ncov/php/pandemic-preparedness-resources.html" TargetMode="External"/><Relationship Id="rId38" Type="http://schemas.openxmlformats.org/officeDocument/2006/relationships/hyperlink" Target="https://www.whitehouse.gov/presidential-actions/memorandum-expanding-state-approved-diagnostic-tests/" TargetMode="External"/><Relationship Id="rId46" Type="http://schemas.openxmlformats.org/officeDocument/2006/relationships/hyperlink" Target="https://sydneycare.onelink.me/zuFc/covid19"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s://www.cdc.gov/coronavirus/2019-ncov/specific-groups/guidance-business-response.html" TargetMode="External"/><Relationship Id="rId41" Type="http://schemas.openxmlformats.org/officeDocument/2006/relationships/hyperlink" Target="http://www.livehealthonline.co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hyperlink" Target="https://www.cdc.gov/coronavirus/2019-ncov/specific-groups/guidance-business-response.html" TargetMode="External"/><Relationship Id="rId37" Type="http://schemas.openxmlformats.org/officeDocument/2006/relationships/hyperlink" Target="https://www.whitehouse.gov/presidential-actions/memorandum-expanding-state-approved-diagnostic-tests/" TargetMode="External"/><Relationship Id="rId40" Type="http://schemas.openxmlformats.org/officeDocument/2006/relationships/hyperlink" Target="https://www.cdc.gov/nchs/data/icd/ICD-10-CM-Official-Coding-Gudance-Interim-Advice-coronavirus-feb-20-2020.pdf" TargetMode="External"/><Relationship Id="rId45" Type="http://schemas.openxmlformats.org/officeDocument/2006/relationships/hyperlink" Target="https://sydneycare.onelink.me/zuFc/covid19" TargetMode="External"/><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0.png"/><Relationship Id="rId23" Type="http://schemas.openxmlformats.org/officeDocument/2006/relationships/image" Target="media/image80.png"/><Relationship Id="rId28" Type="http://schemas.openxmlformats.org/officeDocument/2006/relationships/image" Target="media/image12.png"/><Relationship Id="rId36" Type="http://schemas.openxmlformats.org/officeDocument/2006/relationships/image" Target="media/image14.png"/><Relationship Id="rId49" Type="http://schemas.openxmlformats.org/officeDocument/2006/relationships/hyperlink" Target="http://www.healthcare.gov/" TargetMode="External"/><Relationship Id="rId10" Type="http://schemas.openxmlformats.org/officeDocument/2006/relationships/image" Target="media/image3.png"/><Relationship Id="rId19" Type="http://schemas.openxmlformats.org/officeDocument/2006/relationships/image" Target="media/image60.png"/><Relationship Id="rId31" Type="http://schemas.openxmlformats.org/officeDocument/2006/relationships/hyperlink" Target="https://www.cdc.gov/coronavirus/2019-ncov/specific-groups/guidance-business-response.html" TargetMode="External"/><Relationship Id="rId44" Type="http://schemas.openxmlformats.org/officeDocument/2006/relationships/image" Target="media/image16.png"/><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0.jpg"/><Relationship Id="rId14" Type="http://schemas.openxmlformats.org/officeDocument/2006/relationships/image" Target="media/image5.png"/><Relationship Id="rId22" Type="http://schemas.openxmlformats.org/officeDocument/2006/relationships/image" Target="media/image70.png"/><Relationship Id="rId27" Type="http://schemas.openxmlformats.org/officeDocument/2006/relationships/image" Target="media/image100.png"/><Relationship Id="rId30" Type="http://schemas.openxmlformats.org/officeDocument/2006/relationships/hyperlink" Target="https://www.cdc.gov/coronavirus/2019-ncov/specific-groups/guidance-business-response.html" TargetMode="External"/><Relationship Id="rId35" Type="http://schemas.openxmlformats.org/officeDocument/2006/relationships/image" Target="media/image13.png"/><Relationship Id="rId43" Type="http://schemas.openxmlformats.org/officeDocument/2006/relationships/image" Target="media/image15.png"/><Relationship Id="rId48" Type="http://schemas.openxmlformats.org/officeDocument/2006/relationships/hyperlink" Target="http://www.healthcare.gov/" TargetMode="External"/><Relationship Id="rId8" Type="http://schemas.openxmlformats.org/officeDocument/2006/relationships/image" Target="media/image2.jpg"/><Relationship Id="rId51"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4694</Words>
  <Characters>26759</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COVID-19 EXTERNAL faqs</vt:lpstr>
    </vt:vector>
  </TitlesOfParts>
  <Company>Anthem, Inc</Company>
  <LinksUpToDate>false</LinksUpToDate>
  <CharactersWithSpaces>31391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EXTERNAL faqs</dc:title>
  <dc:subject/>
  <dc:creator>McLaughlin, Lori</dc:creator>
  <cp:keywords/>
  <cp:lastModifiedBy>Zoll, Stephen</cp:lastModifiedBy>
  <cp:revision>2</cp:revision>
  <dcterms:created xsi:type="dcterms:W3CDTF">2020-03-20T20:42:00Z</dcterms:created>
  <dcterms:modified xsi:type="dcterms:W3CDTF">2020-03-20T20:42:00Z</dcterms:modified>
</cp:coreProperties>
</file>